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FCC" w:rsidRDefault="004F0138">
      <w:pPr>
        <w:rPr>
          <w:b/>
        </w:rPr>
      </w:pPr>
      <w:r w:rsidRPr="00156B68">
        <w:rPr>
          <w:rFonts w:ascii="Calibri Light" w:hAnsi="Calibri Light" w:cs="Calibri Light"/>
          <w:noProof/>
        </w:rPr>
        <w:drawing>
          <wp:anchor distT="0" distB="0" distL="114300" distR="114300" simplePos="0" relativeHeight="251658240" behindDoc="0" locked="0" layoutInCell="1" allowOverlap="1" wp14:anchorId="1570B7F7">
            <wp:simplePos x="0" y="0"/>
            <wp:positionH relativeFrom="margin">
              <wp:align>right</wp:align>
            </wp:positionH>
            <wp:positionV relativeFrom="paragraph">
              <wp:posOffset>8435</wp:posOffset>
            </wp:positionV>
            <wp:extent cx="1546443" cy="517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6443" cy="517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0138">
        <w:rPr>
          <w:b/>
        </w:rPr>
        <w:t>Job Description</w:t>
      </w:r>
      <w:r w:rsidR="00304A16">
        <w:rPr>
          <w:b/>
        </w:rPr>
        <w:t xml:space="preserve"> and Person Specification</w:t>
      </w:r>
    </w:p>
    <w:p w:rsidR="004F0138" w:rsidRPr="004F0138" w:rsidRDefault="004F0138"/>
    <w:tbl>
      <w:tblPr>
        <w:tblStyle w:val="TableGrid"/>
        <w:tblW w:w="0" w:type="auto"/>
        <w:tblLook w:val="04A0" w:firstRow="1" w:lastRow="0" w:firstColumn="1" w:lastColumn="0" w:noHBand="0" w:noVBand="1"/>
      </w:tblPr>
      <w:tblGrid>
        <w:gridCol w:w="1980"/>
        <w:gridCol w:w="8476"/>
      </w:tblGrid>
      <w:tr w:rsidR="004F0138" w:rsidTr="004F0138">
        <w:tc>
          <w:tcPr>
            <w:tcW w:w="1980" w:type="dxa"/>
            <w:shd w:val="clear" w:color="auto" w:fill="B4C6E7" w:themeFill="accent1" w:themeFillTint="66"/>
          </w:tcPr>
          <w:p w:rsidR="004F0138" w:rsidRPr="004F0138" w:rsidRDefault="004F0138">
            <w:pPr>
              <w:rPr>
                <w:b/>
              </w:rPr>
            </w:pPr>
            <w:r w:rsidRPr="004F0138">
              <w:rPr>
                <w:b/>
              </w:rPr>
              <w:t>Post Title</w:t>
            </w:r>
          </w:p>
        </w:tc>
        <w:tc>
          <w:tcPr>
            <w:tcW w:w="8476" w:type="dxa"/>
          </w:tcPr>
          <w:p w:rsidR="004F0138" w:rsidRDefault="003D320D">
            <w:r>
              <w:t>Chaplain</w:t>
            </w:r>
          </w:p>
        </w:tc>
      </w:tr>
      <w:tr w:rsidR="004F0138" w:rsidTr="004F0138">
        <w:tc>
          <w:tcPr>
            <w:tcW w:w="1980" w:type="dxa"/>
            <w:shd w:val="clear" w:color="auto" w:fill="B4C6E7" w:themeFill="accent1" w:themeFillTint="66"/>
          </w:tcPr>
          <w:p w:rsidR="004F0138" w:rsidRPr="004F0138" w:rsidRDefault="004F0138">
            <w:pPr>
              <w:rPr>
                <w:b/>
              </w:rPr>
            </w:pPr>
            <w:r w:rsidRPr="004F0138">
              <w:rPr>
                <w:b/>
              </w:rPr>
              <w:t>Purpose</w:t>
            </w:r>
          </w:p>
        </w:tc>
        <w:tc>
          <w:tcPr>
            <w:tcW w:w="8476" w:type="dxa"/>
          </w:tcPr>
          <w:p w:rsidR="004F0138" w:rsidRPr="00A66B08" w:rsidRDefault="003D320D" w:rsidP="003D320D">
            <w:pPr>
              <w:rPr>
                <w:rFonts w:ascii="Calibri Light" w:hAnsi="Calibri Light" w:cs="Calibri Light"/>
              </w:rPr>
            </w:pPr>
            <w:r w:rsidRPr="003D320D">
              <w:rPr>
                <w:rFonts w:cstheme="minorHAnsi"/>
              </w:rPr>
              <w:t>To be responsible for chaplaincy work in the college.</w:t>
            </w:r>
          </w:p>
        </w:tc>
      </w:tr>
      <w:tr w:rsidR="004F0138" w:rsidTr="004F0138">
        <w:tc>
          <w:tcPr>
            <w:tcW w:w="1980" w:type="dxa"/>
            <w:shd w:val="clear" w:color="auto" w:fill="B4C6E7" w:themeFill="accent1" w:themeFillTint="66"/>
          </w:tcPr>
          <w:p w:rsidR="004F0138" w:rsidRPr="004F0138" w:rsidRDefault="004F0138">
            <w:pPr>
              <w:rPr>
                <w:b/>
              </w:rPr>
            </w:pPr>
            <w:r w:rsidRPr="004F0138">
              <w:rPr>
                <w:b/>
              </w:rPr>
              <w:t>Responsible to</w:t>
            </w:r>
          </w:p>
        </w:tc>
        <w:tc>
          <w:tcPr>
            <w:tcW w:w="8476" w:type="dxa"/>
          </w:tcPr>
          <w:p w:rsidR="004F0138" w:rsidRDefault="003D320D">
            <w:r w:rsidRPr="003D320D">
              <w:t>The Principal through the Deputy Principal, Student Services.</w:t>
            </w:r>
          </w:p>
        </w:tc>
      </w:tr>
      <w:tr w:rsidR="004F0138" w:rsidTr="004F0138">
        <w:tc>
          <w:tcPr>
            <w:tcW w:w="1980" w:type="dxa"/>
            <w:shd w:val="clear" w:color="auto" w:fill="B4C6E7" w:themeFill="accent1" w:themeFillTint="66"/>
          </w:tcPr>
          <w:p w:rsidR="004F0138" w:rsidRPr="004F0138" w:rsidRDefault="004F0138">
            <w:pPr>
              <w:rPr>
                <w:b/>
              </w:rPr>
            </w:pPr>
            <w:r w:rsidRPr="004F0138">
              <w:rPr>
                <w:b/>
              </w:rPr>
              <w:t>Liaising with</w:t>
            </w:r>
          </w:p>
        </w:tc>
        <w:tc>
          <w:tcPr>
            <w:tcW w:w="8476" w:type="dxa"/>
          </w:tcPr>
          <w:p w:rsidR="004F0138" w:rsidRDefault="003D320D">
            <w:r w:rsidRPr="003D320D">
              <w:t xml:space="preserve">Relevant staff with cross college responsibilities, e.g. Senior Management Team, College Management Team, </w:t>
            </w:r>
            <w:r w:rsidR="00667D27">
              <w:t xml:space="preserve">Head of General RE, Heads of Hall, Student Services Personal Tutors and support staff. </w:t>
            </w:r>
            <w:r w:rsidRPr="003D320D">
              <w:t>Students, local parishes, Salford Diocese and appropriate Church groups.</w:t>
            </w:r>
          </w:p>
        </w:tc>
      </w:tr>
      <w:tr w:rsidR="002B2E65" w:rsidTr="004F0138">
        <w:tc>
          <w:tcPr>
            <w:tcW w:w="1980" w:type="dxa"/>
            <w:shd w:val="clear" w:color="auto" w:fill="B4C6E7" w:themeFill="accent1" w:themeFillTint="66"/>
          </w:tcPr>
          <w:p w:rsidR="002B2E65" w:rsidRPr="004F0138" w:rsidRDefault="002B2E65">
            <w:pPr>
              <w:rPr>
                <w:b/>
              </w:rPr>
            </w:pPr>
            <w:r>
              <w:rPr>
                <w:b/>
              </w:rPr>
              <w:t>Remuneration</w:t>
            </w:r>
          </w:p>
        </w:tc>
        <w:tc>
          <w:tcPr>
            <w:tcW w:w="8476" w:type="dxa"/>
          </w:tcPr>
          <w:p w:rsidR="00354E0F" w:rsidRPr="000B35B9" w:rsidRDefault="00A66B08">
            <w:r w:rsidRPr="000B35B9">
              <w:t xml:space="preserve">SFCA Support Staff pay spine points </w:t>
            </w:r>
            <w:r w:rsidR="003D320D" w:rsidRPr="000B35B9">
              <w:t>16</w:t>
            </w:r>
            <w:r w:rsidR="00354E0F" w:rsidRPr="000B35B9">
              <w:t>-</w:t>
            </w:r>
            <w:r w:rsidR="003D320D" w:rsidRPr="000B35B9">
              <w:t>18</w:t>
            </w:r>
            <w:r w:rsidR="00354E0F" w:rsidRPr="000B35B9">
              <w:t xml:space="preserve"> depending on experience</w:t>
            </w:r>
          </w:p>
          <w:p w:rsidR="002B2E65" w:rsidRPr="000B35B9" w:rsidRDefault="00354E0F">
            <w:r w:rsidRPr="000B35B9">
              <w:t xml:space="preserve">(actual </w:t>
            </w:r>
            <w:r w:rsidR="000B35B9" w:rsidRPr="000B35B9">
              <w:t>£24,013.64</w:t>
            </w:r>
            <w:r w:rsidRPr="000B35B9">
              <w:t xml:space="preserve"> to £</w:t>
            </w:r>
            <w:r w:rsidR="000B35B9" w:rsidRPr="000B35B9">
              <w:t>25,596.99</w:t>
            </w:r>
            <w:r w:rsidR="001918A0" w:rsidRPr="000B35B9">
              <w:t xml:space="preserve"> per annum</w:t>
            </w:r>
            <w:r w:rsidRPr="000B35B9">
              <w:t xml:space="preserve">) </w:t>
            </w:r>
          </w:p>
        </w:tc>
      </w:tr>
      <w:tr w:rsidR="004F0138" w:rsidTr="004F0138">
        <w:tc>
          <w:tcPr>
            <w:tcW w:w="10456" w:type="dxa"/>
            <w:gridSpan w:val="2"/>
            <w:shd w:val="clear" w:color="auto" w:fill="B4C6E7" w:themeFill="accent1" w:themeFillTint="66"/>
          </w:tcPr>
          <w:p w:rsidR="004F0138" w:rsidRPr="004F0138" w:rsidRDefault="004F0138">
            <w:pPr>
              <w:rPr>
                <w:b/>
              </w:rPr>
            </w:pPr>
            <w:r w:rsidRPr="004F0138">
              <w:rPr>
                <w:b/>
              </w:rPr>
              <w:t>Context</w:t>
            </w:r>
          </w:p>
        </w:tc>
      </w:tr>
      <w:tr w:rsidR="004F0138" w:rsidTr="004F0138">
        <w:tc>
          <w:tcPr>
            <w:tcW w:w="10456" w:type="dxa"/>
            <w:gridSpan w:val="2"/>
          </w:tcPr>
          <w:p w:rsidR="006150B2" w:rsidRPr="006150B2" w:rsidRDefault="006150B2" w:rsidP="006150B2">
            <w:pPr>
              <w:rPr>
                <w:rFonts w:cstheme="minorHAnsi"/>
              </w:rPr>
            </w:pPr>
            <w:bookmarkStart w:id="0" w:name="_Hlk130916671"/>
            <w:r>
              <w:rPr>
                <w:rFonts w:cstheme="minorHAnsi"/>
              </w:rPr>
              <w:t>L</w:t>
            </w:r>
            <w:r w:rsidRPr="006150B2">
              <w:rPr>
                <w:rFonts w:cstheme="minorHAnsi"/>
              </w:rPr>
              <w:t>oreto is a Catholic college under the trusteeship of IBVM. Its ethos and mission are based on the</w:t>
            </w:r>
          </w:p>
          <w:p w:rsidR="006150B2" w:rsidRDefault="006150B2" w:rsidP="006150B2">
            <w:pPr>
              <w:rPr>
                <w:rFonts w:cstheme="minorHAnsi"/>
              </w:rPr>
            </w:pPr>
            <w:r w:rsidRPr="006150B2">
              <w:rPr>
                <w:rFonts w:cstheme="minorHAnsi"/>
              </w:rPr>
              <w:t xml:space="preserve">charisms of its founder Mary Ward. </w:t>
            </w:r>
          </w:p>
          <w:p w:rsidR="006150B2" w:rsidRPr="00A66B08" w:rsidRDefault="00730A71" w:rsidP="006150B2">
            <w:pPr>
              <w:rPr>
                <w:rFonts w:cstheme="minorHAnsi"/>
              </w:rPr>
            </w:pPr>
            <w:r>
              <w:t>The College is looking to appoint an enthusiastic and dedicated Chaplain to working alongside the Assistant Chaplain and Chaplaincy Pastoral Officer in our culturally and religiously diverse community</w:t>
            </w:r>
            <w:bookmarkEnd w:id="0"/>
            <w:r>
              <w:t>.</w:t>
            </w:r>
            <w:bookmarkStart w:id="1" w:name="_GoBack"/>
            <w:bookmarkEnd w:id="1"/>
          </w:p>
        </w:tc>
      </w:tr>
    </w:tbl>
    <w:p w:rsidR="004F0138" w:rsidRDefault="004F0138"/>
    <w:p w:rsidR="004F0138" w:rsidRPr="004F0138" w:rsidRDefault="004F0138">
      <w:pPr>
        <w:rPr>
          <w:b/>
        </w:rPr>
      </w:pPr>
      <w:r w:rsidRPr="004F0138">
        <w:rPr>
          <w:b/>
        </w:rPr>
        <w:t>Main Duties and Responsibilities</w:t>
      </w:r>
    </w:p>
    <w:tbl>
      <w:tblPr>
        <w:tblStyle w:val="TableGrid"/>
        <w:tblW w:w="0" w:type="auto"/>
        <w:tblLook w:val="04A0" w:firstRow="1" w:lastRow="0" w:firstColumn="1" w:lastColumn="0" w:noHBand="0" w:noVBand="1"/>
      </w:tblPr>
      <w:tblGrid>
        <w:gridCol w:w="10456"/>
      </w:tblGrid>
      <w:tr w:rsidR="004F0138" w:rsidTr="004F0138">
        <w:tc>
          <w:tcPr>
            <w:tcW w:w="10456" w:type="dxa"/>
            <w:shd w:val="clear" w:color="auto" w:fill="B4C6E7" w:themeFill="accent1" w:themeFillTint="66"/>
          </w:tcPr>
          <w:p w:rsidR="004F0138" w:rsidRPr="004F0138" w:rsidRDefault="003D320D">
            <w:pPr>
              <w:rPr>
                <w:b/>
              </w:rPr>
            </w:pPr>
            <w:r>
              <w:rPr>
                <w:b/>
              </w:rPr>
              <w:t>Chaplaincy Work</w:t>
            </w:r>
          </w:p>
        </w:tc>
      </w:tr>
      <w:tr w:rsidR="004F0138" w:rsidTr="004F0138">
        <w:tc>
          <w:tcPr>
            <w:tcW w:w="10456" w:type="dxa"/>
          </w:tcPr>
          <w:p w:rsidR="003D320D" w:rsidRDefault="003D320D" w:rsidP="003D320D">
            <w:pPr>
              <w:pStyle w:val="ListParagraph"/>
              <w:numPr>
                <w:ilvl w:val="0"/>
                <w:numId w:val="22"/>
              </w:numPr>
            </w:pPr>
            <w:r>
              <w:t>To encourage and nurture spiritual and religious development of students and staff at the College.</w:t>
            </w:r>
          </w:p>
          <w:p w:rsidR="003D320D" w:rsidRDefault="003D320D" w:rsidP="003D320D">
            <w:pPr>
              <w:pStyle w:val="ListParagraph"/>
              <w:numPr>
                <w:ilvl w:val="0"/>
                <w:numId w:val="22"/>
              </w:numPr>
            </w:pPr>
            <w:r>
              <w:t>To celebrate the Catholic ethos and IBVM heritage of the College</w:t>
            </w:r>
          </w:p>
          <w:p w:rsidR="003D320D" w:rsidRDefault="003D320D" w:rsidP="003D320D">
            <w:pPr>
              <w:pStyle w:val="ListParagraph"/>
              <w:numPr>
                <w:ilvl w:val="0"/>
                <w:numId w:val="22"/>
              </w:numPr>
            </w:pPr>
            <w:r>
              <w:t>To empower students to recognise the joy of the gospel and become disciples.</w:t>
            </w:r>
          </w:p>
          <w:p w:rsidR="003D320D" w:rsidRDefault="003D320D" w:rsidP="003D320D">
            <w:pPr>
              <w:pStyle w:val="ListParagraph"/>
              <w:numPr>
                <w:ilvl w:val="0"/>
                <w:numId w:val="22"/>
              </w:numPr>
            </w:pPr>
            <w:r>
              <w:t xml:space="preserve">To evangelise in a fresh and creative way, finding new ways for the Gospel to encourage and challenge students and staff. </w:t>
            </w:r>
          </w:p>
          <w:p w:rsidR="003D320D" w:rsidRDefault="003D320D" w:rsidP="003D320D">
            <w:pPr>
              <w:pStyle w:val="ListParagraph"/>
              <w:numPr>
                <w:ilvl w:val="0"/>
                <w:numId w:val="22"/>
              </w:numPr>
            </w:pPr>
            <w:r>
              <w:t>To build strong relationships with students and staff in order to promote collaborative and peer ministries.</w:t>
            </w:r>
          </w:p>
          <w:p w:rsidR="003D320D" w:rsidRDefault="003D320D" w:rsidP="003D320D">
            <w:pPr>
              <w:pStyle w:val="ListParagraph"/>
              <w:numPr>
                <w:ilvl w:val="0"/>
                <w:numId w:val="22"/>
              </w:numPr>
            </w:pPr>
            <w:r>
              <w:t>To co-ordinate, lead and work closely with the Chaplaincy Team</w:t>
            </w:r>
          </w:p>
          <w:p w:rsidR="003D320D" w:rsidRDefault="003D320D" w:rsidP="003D320D">
            <w:pPr>
              <w:pStyle w:val="ListParagraph"/>
              <w:numPr>
                <w:ilvl w:val="0"/>
                <w:numId w:val="22"/>
              </w:numPr>
            </w:pPr>
            <w:r>
              <w:t xml:space="preserve">To co-ordinate termly meetings of the Chaplaincy </w:t>
            </w:r>
            <w:r w:rsidRPr="003D320D">
              <w:t>Advisory</w:t>
            </w:r>
            <w:r>
              <w:t xml:space="preserve"> group.</w:t>
            </w:r>
          </w:p>
          <w:p w:rsidR="003D320D" w:rsidRDefault="003D320D" w:rsidP="003D320D">
            <w:pPr>
              <w:pStyle w:val="ListParagraph"/>
              <w:numPr>
                <w:ilvl w:val="0"/>
                <w:numId w:val="22"/>
              </w:numPr>
            </w:pPr>
            <w:r>
              <w:t>To attend RE meetings, contribute to RE Department development plan, and contribute to general RE Departmental lessons promoting the work of the chaplaincy and the ethos of the College.</w:t>
            </w:r>
          </w:p>
          <w:p w:rsidR="003D320D" w:rsidRDefault="003D320D" w:rsidP="003D320D">
            <w:pPr>
              <w:pStyle w:val="ListParagraph"/>
              <w:numPr>
                <w:ilvl w:val="0"/>
                <w:numId w:val="22"/>
              </w:numPr>
            </w:pPr>
            <w:r>
              <w:t>To take an inclusive approach to Chaplaincy.</w:t>
            </w:r>
          </w:p>
          <w:p w:rsidR="003D320D" w:rsidRDefault="003D320D" w:rsidP="003D320D">
            <w:pPr>
              <w:pStyle w:val="ListParagraph"/>
              <w:numPr>
                <w:ilvl w:val="0"/>
                <w:numId w:val="22"/>
              </w:numPr>
            </w:pPr>
            <w:r>
              <w:t>To liaise with the Head of RE in developing the General RE course where it can further the work of the chaplaincy and ethos of the college, and contribute to general RE lessons promoting the work of the chaplaincy and the ethos of the college when appropriate.</w:t>
            </w:r>
          </w:p>
          <w:p w:rsidR="003D320D" w:rsidRDefault="003D320D" w:rsidP="003D320D">
            <w:pPr>
              <w:pStyle w:val="ListParagraph"/>
              <w:numPr>
                <w:ilvl w:val="0"/>
                <w:numId w:val="22"/>
              </w:numPr>
            </w:pPr>
            <w:r>
              <w:t>To hold responsibility for the Chaplaincy area (Chaplaincy room, Chapel and the Prayer Room).</w:t>
            </w:r>
          </w:p>
          <w:p w:rsidR="003D320D" w:rsidRDefault="003D320D" w:rsidP="003D320D">
            <w:pPr>
              <w:pStyle w:val="ListParagraph"/>
              <w:numPr>
                <w:ilvl w:val="0"/>
                <w:numId w:val="22"/>
              </w:numPr>
            </w:pPr>
            <w:r>
              <w:t>To be responsible for regular liturgical provision in the College.</w:t>
            </w:r>
          </w:p>
          <w:p w:rsidR="003D320D" w:rsidRDefault="003D320D" w:rsidP="003D320D">
            <w:pPr>
              <w:pStyle w:val="ListParagraph"/>
              <w:numPr>
                <w:ilvl w:val="0"/>
                <w:numId w:val="22"/>
              </w:numPr>
            </w:pPr>
            <w:r>
              <w:t>To be responsible for special liturgies based on the Church’s calendar and when particular circumstances demand (Easter, Christmas, leavers celebration, at times of bereavement)</w:t>
            </w:r>
          </w:p>
          <w:p w:rsidR="003D320D" w:rsidRDefault="003D320D" w:rsidP="003D320D">
            <w:pPr>
              <w:pStyle w:val="ListParagraph"/>
              <w:numPr>
                <w:ilvl w:val="0"/>
                <w:numId w:val="22"/>
              </w:numPr>
            </w:pPr>
            <w:r>
              <w:t>To provide opportunities for students and staff to develop in their prayer life.</w:t>
            </w:r>
          </w:p>
          <w:p w:rsidR="00667D27" w:rsidRDefault="00667D27" w:rsidP="00667D27">
            <w:pPr>
              <w:pStyle w:val="ListParagraph"/>
              <w:numPr>
                <w:ilvl w:val="0"/>
                <w:numId w:val="22"/>
              </w:numPr>
            </w:pPr>
            <w:r>
              <w:t>To work with the EDI Manager in support of Mary Ward values, College-wide</w:t>
            </w:r>
          </w:p>
          <w:p w:rsidR="00667D27" w:rsidRDefault="00667D27" w:rsidP="00667D27">
            <w:pPr>
              <w:pStyle w:val="ListParagraph"/>
              <w:numPr>
                <w:ilvl w:val="0"/>
                <w:numId w:val="22"/>
              </w:numPr>
            </w:pPr>
            <w:r>
              <w:t>To work with the Sustainability &amp; Environment Manager to engage with student population on sustainability matters and projects</w:t>
            </w:r>
          </w:p>
          <w:p w:rsidR="003D320D" w:rsidRDefault="003D320D" w:rsidP="003D320D">
            <w:pPr>
              <w:pStyle w:val="ListParagraph"/>
              <w:numPr>
                <w:ilvl w:val="0"/>
                <w:numId w:val="22"/>
              </w:numPr>
            </w:pPr>
            <w:r>
              <w:t>To work closely with the College charities group in promoting charitable actions and activities throughout the College.</w:t>
            </w:r>
          </w:p>
          <w:p w:rsidR="003D320D" w:rsidRDefault="003D320D" w:rsidP="003D320D">
            <w:pPr>
              <w:pStyle w:val="ListParagraph"/>
              <w:numPr>
                <w:ilvl w:val="0"/>
                <w:numId w:val="22"/>
              </w:numPr>
            </w:pPr>
            <w:r>
              <w:t>To contribute, alongside Senior Management to assemblies when required.</w:t>
            </w:r>
          </w:p>
          <w:p w:rsidR="003D320D" w:rsidRDefault="003D320D" w:rsidP="003D320D">
            <w:pPr>
              <w:pStyle w:val="ListParagraph"/>
              <w:numPr>
                <w:ilvl w:val="0"/>
                <w:numId w:val="22"/>
              </w:numPr>
            </w:pPr>
            <w:r>
              <w:t>To promote an understanding of Ignatian spirituality with staff and students in the College.</w:t>
            </w:r>
          </w:p>
          <w:p w:rsidR="003D320D" w:rsidRDefault="003D320D" w:rsidP="003D320D">
            <w:pPr>
              <w:pStyle w:val="ListParagraph"/>
              <w:numPr>
                <w:ilvl w:val="0"/>
                <w:numId w:val="22"/>
              </w:numPr>
            </w:pPr>
            <w:r>
              <w:t>To contribute to the college marketing team visiting local high schools, strengthening links with them and promoting the work of the chaplaincy.</w:t>
            </w:r>
          </w:p>
          <w:p w:rsidR="003D320D" w:rsidRDefault="003D320D" w:rsidP="003D320D">
            <w:pPr>
              <w:pStyle w:val="ListParagraph"/>
              <w:numPr>
                <w:ilvl w:val="0"/>
                <w:numId w:val="22"/>
              </w:numPr>
            </w:pPr>
            <w:r>
              <w:t>To use modern technology to find new ways for Chaplaincy to engage students and staff</w:t>
            </w:r>
          </w:p>
          <w:p w:rsidR="003D320D" w:rsidRDefault="003D320D" w:rsidP="003D320D">
            <w:pPr>
              <w:pStyle w:val="ListParagraph"/>
              <w:numPr>
                <w:ilvl w:val="0"/>
                <w:numId w:val="22"/>
              </w:numPr>
            </w:pPr>
            <w:r>
              <w:t>To promote equality in line with college policy.</w:t>
            </w:r>
          </w:p>
          <w:p w:rsidR="003D320D" w:rsidRDefault="003D320D" w:rsidP="003D320D">
            <w:pPr>
              <w:pStyle w:val="ListParagraph"/>
              <w:numPr>
                <w:ilvl w:val="0"/>
                <w:numId w:val="22"/>
              </w:numPr>
            </w:pPr>
            <w:r>
              <w:t>To participate in residential activities and retreats with the students.</w:t>
            </w:r>
          </w:p>
          <w:p w:rsidR="003D320D" w:rsidRDefault="003D320D" w:rsidP="003D320D">
            <w:pPr>
              <w:pStyle w:val="ListParagraph"/>
              <w:numPr>
                <w:ilvl w:val="0"/>
                <w:numId w:val="22"/>
              </w:numPr>
            </w:pPr>
            <w:r>
              <w:t>To co-ordinate and accompany students on the annual Lourdes pilgrimage, and trip to Rome.</w:t>
            </w:r>
          </w:p>
          <w:p w:rsidR="003D320D" w:rsidRDefault="003D320D" w:rsidP="003D320D">
            <w:pPr>
              <w:pStyle w:val="ListParagraph"/>
              <w:numPr>
                <w:ilvl w:val="0"/>
                <w:numId w:val="22"/>
              </w:numPr>
            </w:pPr>
            <w:r>
              <w:lastRenderedPageBreak/>
              <w:t xml:space="preserve">To engage and support the pastoral and spiritual activities of the Diocese </w:t>
            </w:r>
            <w:r w:rsidR="00B028C3">
              <w:t>and IBVM</w:t>
            </w:r>
            <w:r>
              <w:t>.</w:t>
            </w:r>
          </w:p>
          <w:p w:rsidR="003D320D" w:rsidRDefault="003D320D" w:rsidP="003D320D">
            <w:pPr>
              <w:pStyle w:val="ListParagraph"/>
              <w:numPr>
                <w:ilvl w:val="0"/>
                <w:numId w:val="22"/>
              </w:numPr>
            </w:pPr>
            <w:r>
              <w:t>To build positive and collaborative relationships between the college and local parishes, community and youth organisations and partnership high schools.</w:t>
            </w:r>
          </w:p>
          <w:p w:rsidR="003D320D" w:rsidRDefault="003D320D" w:rsidP="003D320D">
            <w:pPr>
              <w:pStyle w:val="ListParagraph"/>
              <w:numPr>
                <w:ilvl w:val="0"/>
                <w:numId w:val="22"/>
              </w:numPr>
            </w:pPr>
            <w:r>
              <w:t>To develop and maintain links with Loreto English Education Network (LEEN).</w:t>
            </w:r>
          </w:p>
          <w:p w:rsidR="003D320D" w:rsidRDefault="003D320D" w:rsidP="003D320D">
            <w:pPr>
              <w:pStyle w:val="ListParagraph"/>
              <w:numPr>
                <w:ilvl w:val="0"/>
                <w:numId w:val="22"/>
              </w:numPr>
            </w:pPr>
            <w:r>
              <w:t>To attend and participate in college Open days/taster days/ NSDs and other cross college events as appropriate, with the focusing of raising the profile and awareness of chaplaincy.</w:t>
            </w:r>
          </w:p>
          <w:p w:rsidR="002F0AD1" w:rsidRDefault="003D320D" w:rsidP="003D320D">
            <w:pPr>
              <w:pStyle w:val="ListParagraph"/>
              <w:numPr>
                <w:ilvl w:val="0"/>
                <w:numId w:val="22"/>
              </w:numPr>
            </w:pPr>
            <w:r>
              <w:t>To establish and maintain a presence around student communal areas.</w:t>
            </w:r>
          </w:p>
        </w:tc>
      </w:tr>
      <w:tr w:rsidR="004F0138" w:rsidTr="004F0138">
        <w:tc>
          <w:tcPr>
            <w:tcW w:w="10456" w:type="dxa"/>
            <w:shd w:val="clear" w:color="auto" w:fill="B4C6E7" w:themeFill="accent1" w:themeFillTint="66"/>
          </w:tcPr>
          <w:p w:rsidR="004F0138" w:rsidRPr="004F0138" w:rsidRDefault="004F0138">
            <w:pPr>
              <w:rPr>
                <w:b/>
              </w:rPr>
            </w:pPr>
            <w:r w:rsidRPr="004F0138">
              <w:rPr>
                <w:b/>
              </w:rPr>
              <w:lastRenderedPageBreak/>
              <w:t>Staffing</w:t>
            </w:r>
          </w:p>
        </w:tc>
      </w:tr>
      <w:tr w:rsidR="004F0138" w:rsidTr="004F0138">
        <w:tc>
          <w:tcPr>
            <w:tcW w:w="10456" w:type="dxa"/>
          </w:tcPr>
          <w:p w:rsidR="002F0AD1" w:rsidRDefault="002F0AD1">
            <w:pPr>
              <w:rPr>
                <w:rFonts w:cstheme="minorHAnsi"/>
                <w:i/>
              </w:rPr>
            </w:pPr>
          </w:p>
          <w:p w:rsidR="004F0138" w:rsidRPr="002F0AD1" w:rsidRDefault="002F0AD1">
            <w:pPr>
              <w:rPr>
                <w:rFonts w:cstheme="minorHAnsi"/>
                <w:i/>
              </w:rPr>
            </w:pPr>
            <w:r w:rsidRPr="002F0AD1">
              <w:rPr>
                <w:rFonts w:cstheme="minorHAnsi"/>
                <w:i/>
              </w:rPr>
              <w:t>Staff Development</w:t>
            </w:r>
          </w:p>
          <w:p w:rsidR="003D320D" w:rsidRPr="003D320D" w:rsidRDefault="003D320D" w:rsidP="003D320D">
            <w:pPr>
              <w:pStyle w:val="ListParagraph"/>
              <w:numPr>
                <w:ilvl w:val="0"/>
                <w:numId w:val="5"/>
              </w:numPr>
              <w:jc w:val="both"/>
              <w:rPr>
                <w:rFonts w:cstheme="minorHAnsi"/>
              </w:rPr>
            </w:pPr>
            <w:r w:rsidRPr="003D320D">
              <w:rPr>
                <w:rFonts w:cstheme="minorHAnsi"/>
              </w:rPr>
              <w:t>To take part in staff development as appropriate.</w:t>
            </w:r>
          </w:p>
          <w:p w:rsidR="003D320D" w:rsidRPr="003D320D" w:rsidRDefault="003D320D" w:rsidP="003D320D">
            <w:pPr>
              <w:pStyle w:val="ListParagraph"/>
              <w:numPr>
                <w:ilvl w:val="0"/>
                <w:numId w:val="5"/>
              </w:numPr>
              <w:jc w:val="both"/>
              <w:rPr>
                <w:rFonts w:cstheme="minorHAnsi"/>
              </w:rPr>
            </w:pPr>
            <w:r w:rsidRPr="003D320D">
              <w:rPr>
                <w:rFonts w:cstheme="minorHAnsi"/>
              </w:rPr>
              <w:t>To take part in the College’s Professional Development Review process.</w:t>
            </w:r>
          </w:p>
          <w:p w:rsidR="003D320D" w:rsidRPr="003D320D" w:rsidRDefault="003D320D" w:rsidP="003D320D">
            <w:pPr>
              <w:pStyle w:val="ListParagraph"/>
              <w:numPr>
                <w:ilvl w:val="0"/>
                <w:numId w:val="5"/>
              </w:numPr>
              <w:jc w:val="both"/>
              <w:rPr>
                <w:rFonts w:cstheme="minorHAnsi"/>
              </w:rPr>
            </w:pPr>
            <w:r w:rsidRPr="003D320D">
              <w:rPr>
                <w:rFonts w:cstheme="minorHAnsi"/>
              </w:rPr>
              <w:t>To contribute towards the staff development of other staff as appropriate.</w:t>
            </w:r>
          </w:p>
          <w:p w:rsidR="003D320D" w:rsidRPr="003D320D" w:rsidRDefault="003D320D" w:rsidP="003D320D">
            <w:pPr>
              <w:pStyle w:val="ListParagraph"/>
              <w:numPr>
                <w:ilvl w:val="0"/>
                <w:numId w:val="5"/>
              </w:numPr>
              <w:jc w:val="both"/>
              <w:rPr>
                <w:rFonts w:cstheme="minorHAnsi"/>
              </w:rPr>
            </w:pPr>
            <w:r w:rsidRPr="003D320D">
              <w:rPr>
                <w:rFonts w:cstheme="minorHAnsi"/>
              </w:rPr>
              <w:t>To contribute towards the induction of new staff as appropriate.</w:t>
            </w:r>
          </w:p>
          <w:p w:rsidR="002F0AD1" w:rsidRPr="002F0AD1" w:rsidRDefault="002F0AD1">
            <w:pPr>
              <w:rPr>
                <w:rFonts w:cstheme="minorHAnsi"/>
              </w:rPr>
            </w:pPr>
          </w:p>
          <w:p w:rsidR="002F0AD1" w:rsidRPr="002F0AD1" w:rsidRDefault="002F0AD1">
            <w:pPr>
              <w:rPr>
                <w:rFonts w:cstheme="minorHAnsi"/>
                <w:i/>
              </w:rPr>
            </w:pPr>
            <w:r w:rsidRPr="002F0AD1">
              <w:rPr>
                <w:rFonts w:cstheme="minorHAnsi"/>
                <w:i/>
              </w:rPr>
              <w:t>Deployment of Staff</w:t>
            </w:r>
          </w:p>
          <w:p w:rsidR="002F0AD1" w:rsidRPr="003D320D" w:rsidRDefault="003D320D" w:rsidP="003D320D">
            <w:pPr>
              <w:pStyle w:val="ListParagraph"/>
              <w:numPr>
                <w:ilvl w:val="0"/>
                <w:numId w:val="21"/>
              </w:numPr>
              <w:rPr>
                <w:rFonts w:cstheme="minorHAnsi"/>
              </w:rPr>
            </w:pPr>
            <w:r w:rsidRPr="003D320D">
              <w:rPr>
                <w:rFonts w:cstheme="minorHAnsi"/>
              </w:rPr>
              <w:t>To work as part of a team and to ensure effective working relations.</w:t>
            </w:r>
          </w:p>
        </w:tc>
      </w:tr>
      <w:tr w:rsidR="004F0138" w:rsidTr="004F0138">
        <w:tc>
          <w:tcPr>
            <w:tcW w:w="10456" w:type="dxa"/>
            <w:shd w:val="clear" w:color="auto" w:fill="B4C6E7" w:themeFill="accent1" w:themeFillTint="66"/>
          </w:tcPr>
          <w:p w:rsidR="004F0138" w:rsidRPr="004F0138" w:rsidRDefault="004F0138">
            <w:pPr>
              <w:rPr>
                <w:b/>
              </w:rPr>
            </w:pPr>
            <w:r w:rsidRPr="004F0138">
              <w:rPr>
                <w:b/>
              </w:rPr>
              <w:t>Quality Assurance</w:t>
            </w:r>
          </w:p>
        </w:tc>
      </w:tr>
      <w:tr w:rsidR="004F0138" w:rsidTr="004F0138">
        <w:tc>
          <w:tcPr>
            <w:tcW w:w="10456" w:type="dxa"/>
          </w:tcPr>
          <w:p w:rsidR="004F0138" w:rsidRDefault="004F0138"/>
          <w:p w:rsidR="003D320D" w:rsidRDefault="003D320D" w:rsidP="003D320D">
            <w:pPr>
              <w:pStyle w:val="ListParagraph"/>
              <w:numPr>
                <w:ilvl w:val="0"/>
                <w:numId w:val="7"/>
              </w:numPr>
            </w:pPr>
            <w:r>
              <w:t>To follow college policies in all appropriate areas.</w:t>
            </w:r>
          </w:p>
          <w:p w:rsidR="003D320D" w:rsidRDefault="003D320D" w:rsidP="003D320D">
            <w:pPr>
              <w:pStyle w:val="ListParagraph"/>
              <w:numPr>
                <w:ilvl w:val="0"/>
                <w:numId w:val="7"/>
              </w:numPr>
            </w:pPr>
            <w:r>
              <w:t>To set and develop targets pertaining to the work of the chaplaincy and chaplaincy team.</w:t>
            </w:r>
          </w:p>
          <w:p w:rsidR="003D320D" w:rsidRDefault="003D320D" w:rsidP="003D320D">
            <w:pPr>
              <w:pStyle w:val="ListParagraph"/>
              <w:numPr>
                <w:ilvl w:val="0"/>
                <w:numId w:val="7"/>
              </w:numPr>
            </w:pPr>
            <w:r>
              <w:t>To contribute to the college self-assessment procedures where appropriate.</w:t>
            </w:r>
          </w:p>
          <w:p w:rsidR="002F0AD1" w:rsidRDefault="002F0AD1" w:rsidP="00235ABD">
            <w:pPr>
              <w:pStyle w:val="ListParagraph"/>
            </w:pPr>
          </w:p>
        </w:tc>
      </w:tr>
      <w:tr w:rsidR="004F0138" w:rsidTr="004F0138">
        <w:tc>
          <w:tcPr>
            <w:tcW w:w="10456" w:type="dxa"/>
            <w:shd w:val="clear" w:color="auto" w:fill="B4C6E7" w:themeFill="accent1" w:themeFillTint="66"/>
          </w:tcPr>
          <w:p w:rsidR="004F0138" w:rsidRPr="004F0138" w:rsidRDefault="004F0138">
            <w:pPr>
              <w:rPr>
                <w:b/>
              </w:rPr>
            </w:pPr>
            <w:r w:rsidRPr="004F0138">
              <w:rPr>
                <w:b/>
              </w:rPr>
              <w:t>Communications</w:t>
            </w:r>
          </w:p>
        </w:tc>
      </w:tr>
      <w:tr w:rsidR="004F0138" w:rsidTr="004F0138">
        <w:tc>
          <w:tcPr>
            <w:tcW w:w="10456" w:type="dxa"/>
          </w:tcPr>
          <w:p w:rsidR="003D320D" w:rsidRDefault="003D320D" w:rsidP="003D320D">
            <w:pPr>
              <w:pStyle w:val="ListParagraph"/>
              <w:numPr>
                <w:ilvl w:val="0"/>
                <w:numId w:val="23"/>
              </w:numPr>
            </w:pPr>
            <w:r>
              <w:t>To share with local parishes, Salford and Shrewsbury Dioceses and appropriate Church groups of the chaplaincy work within the college.</w:t>
            </w:r>
          </w:p>
          <w:p w:rsidR="003D320D" w:rsidRDefault="003D320D" w:rsidP="003D320D">
            <w:pPr>
              <w:pStyle w:val="ListParagraph"/>
              <w:numPr>
                <w:ilvl w:val="0"/>
                <w:numId w:val="9"/>
              </w:numPr>
            </w:pPr>
            <w:r>
              <w:t>To publicise and communicate charity activities to the whole college community; including</w:t>
            </w:r>
            <w:r w:rsidR="00B028C3">
              <w:t xml:space="preserve"> reporting to</w:t>
            </w:r>
            <w:r>
              <w:t xml:space="preserve"> governors via the </w:t>
            </w:r>
            <w:r w:rsidR="00B028C3">
              <w:t xml:space="preserve">Deputy </w:t>
            </w:r>
            <w:r>
              <w:t>Principal.</w:t>
            </w:r>
          </w:p>
          <w:p w:rsidR="003D320D" w:rsidRDefault="003D320D" w:rsidP="003D320D">
            <w:pPr>
              <w:pStyle w:val="ListParagraph"/>
              <w:numPr>
                <w:ilvl w:val="0"/>
                <w:numId w:val="9"/>
              </w:numPr>
            </w:pPr>
            <w:r>
              <w:t>To explore links with local organisations who could contribute to our charitable works.</w:t>
            </w:r>
          </w:p>
          <w:p w:rsidR="003D320D" w:rsidRDefault="003D320D" w:rsidP="003D320D">
            <w:pPr>
              <w:pStyle w:val="ListParagraph"/>
              <w:numPr>
                <w:ilvl w:val="0"/>
                <w:numId w:val="9"/>
              </w:numPr>
            </w:pPr>
            <w:r>
              <w:t>To attend meetings, where appropriate, in accordance with the college schedule.</w:t>
            </w:r>
          </w:p>
          <w:p w:rsidR="002F0AD1" w:rsidRDefault="002F0AD1"/>
        </w:tc>
      </w:tr>
      <w:tr w:rsidR="004F0138" w:rsidTr="004F0138">
        <w:tc>
          <w:tcPr>
            <w:tcW w:w="10456" w:type="dxa"/>
            <w:shd w:val="clear" w:color="auto" w:fill="B4C6E7" w:themeFill="accent1" w:themeFillTint="66"/>
          </w:tcPr>
          <w:p w:rsidR="004F0138" w:rsidRPr="004F0138" w:rsidRDefault="004F0138">
            <w:pPr>
              <w:rPr>
                <w:b/>
              </w:rPr>
            </w:pPr>
            <w:r w:rsidRPr="004F0138">
              <w:rPr>
                <w:b/>
              </w:rPr>
              <w:t>Marketing and Liaison</w:t>
            </w:r>
          </w:p>
        </w:tc>
      </w:tr>
      <w:tr w:rsidR="004F0138" w:rsidTr="004F0138">
        <w:tc>
          <w:tcPr>
            <w:tcW w:w="10456" w:type="dxa"/>
          </w:tcPr>
          <w:p w:rsidR="004F0138" w:rsidRPr="00C4737C" w:rsidRDefault="004F0138"/>
          <w:p w:rsidR="002F0AD1" w:rsidRPr="00C4737C" w:rsidRDefault="002F0AD1" w:rsidP="002F0AD1">
            <w:pPr>
              <w:pStyle w:val="ListParagraph"/>
              <w:numPr>
                <w:ilvl w:val="0"/>
                <w:numId w:val="10"/>
              </w:numPr>
            </w:pPr>
            <w:r w:rsidRPr="00C4737C">
              <w:t>To contribute to the College liaison and marketing activities.</w:t>
            </w:r>
          </w:p>
          <w:p w:rsidR="002F0AD1" w:rsidRPr="00C4737C" w:rsidRDefault="002F0AD1" w:rsidP="002F0AD1">
            <w:pPr>
              <w:pStyle w:val="ListParagraph"/>
              <w:numPr>
                <w:ilvl w:val="0"/>
                <w:numId w:val="10"/>
              </w:numPr>
            </w:pPr>
            <w:r w:rsidRPr="00C4737C">
              <w:t>To work with the department to deliver other marketing activities including for example, Open Days.</w:t>
            </w:r>
          </w:p>
          <w:p w:rsidR="002F0AD1" w:rsidRPr="00C4737C" w:rsidRDefault="002F0AD1" w:rsidP="002F0AD1">
            <w:pPr>
              <w:pStyle w:val="ListParagraph"/>
              <w:numPr>
                <w:ilvl w:val="0"/>
                <w:numId w:val="10"/>
              </w:numPr>
            </w:pPr>
            <w:r w:rsidRPr="00C4737C">
              <w:t>To link with external agencies as appropriate.</w:t>
            </w:r>
          </w:p>
          <w:p w:rsidR="002F0AD1" w:rsidRPr="00C4737C" w:rsidRDefault="002F0AD1" w:rsidP="002F0AD1">
            <w:pPr>
              <w:pStyle w:val="ListParagraph"/>
              <w:numPr>
                <w:ilvl w:val="0"/>
                <w:numId w:val="10"/>
              </w:numPr>
            </w:pPr>
            <w:r w:rsidRPr="00C4737C">
              <w:t>To contribute to the department’s collection of data on destinations as appropriate.</w:t>
            </w:r>
          </w:p>
          <w:p w:rsidR="002F0AD1" w:rsidRPr="00C4737C" w:rsidRDefault="002F0AD1"/>
        </w:tc>
      </w:tr>
      <w:tr w:rsidR="004F0138" w:rsidTr="004F0138">
        <w:tc>
          <w:tcPr>
            <w:tcW w:w="10456" w:type="dxa"/>
            <w:shd w:val="clear" w:color="auto" w:fill="B4C6E7" w:themeFill="accent1" w:themeFillTint="66"/>
          </w:tcPr>
          <w:p w:rsidR="004F0138" w:rsidRPr="00C4737C" w:rsidRDefault="004F0138">
            <w:pPr>
              <w:rPr>
                <w:b/>
              </w:rPr>
            </w:pPr>
            <w:r w:rsidRPr="00C4737C">
              <w:rPr>
                <w:b/>
              </w:rPr>
              <w:t>Student Support</w:t>
            </w:r>
          </w:p>
        </w:tc>
      </w:tr>
      <w:tr w:rsidR="004F0138" w:rsidTr="004F0138">
        <w:tc>
          <w:tcPr>
            <w:tcW w:w="10456" w:type="dxa"/>
          </w:tcPr>
          <w:p w:rsidR="004F0138" w:rsidRPr="00C4737C" w:rsidRDefault="004F0138" w:rsidP="002F0AD1"/>
          <w:p w:rsidR="002F0AD1" w:rsidRPr="00C4737C" w:rsidRDefault="002F0AD1" w:rsidP="003D320D">
            <w:pPr>
              <w:pStyle w:val="ListParagraph"/>
              <w:numPr>
                <w:ilvl w:val="0"/>
                <w:numId w:val="12"/>
              </w:numPr>
            </w:pPr>
            <w:r w:rsidRPr="00C4737C">
              <w:t>To monitor and support the progress and development of students</w:t>
            </w:r>
            <w:r w:rsidR="00235ABD" w:rsidRPr="00C4737C">
              <w:t xml:space="preserve"> as appropriate to the role</w:t>
            </w:r>
            <w:r w:rsidRPr="00C4737C">
              <w:t>, including use of the Student Log</w:t>
            </w:r>
            <w:r w:rsidR="00304A16" w:rsidRPr="00C4737C">
              <w:t xml:space="preserve"> as directed</w:t>
            </w:r>
            <w:r w:rsidRPr="00C4737C">
              <w:t>.</w:t>
            </w:r>
          </w:p>
          <w:p w:rsidR="003D320D" w:rsidRPr="00C4737C" w:rsidRDefault="003D320D" w:rsidP="003D320D">
            <w:pPr>
              <w:pStyle w:val="ListParagraph"/>
            </w:pPr>
          </w:p>
        </w:tc>
      </w:tr>
      <w:tr w:rsidR="005B43FF" w:rsidTr="005B43FF">
        <w:tc>
          <w:tcPr>
            <w:tcW w:w="10456" w:type="dxa"/>
            <w:shd w:val="clear" w:color="auto" w:fill="B4C6E7" w:themeFill="accent1" w:themeFillTint="66"/>
          </w:tcPr>
          <w:p w:rsidR="005B43FF" w:rsidRPr="005B43FF" w:rsidRDefault="003D320D" w:rsidP="002F0AD1">
            <w:pPr>
              <w:rPr>
                <w:b/>
              </w:rPr>
            </w:pPr>
            <w:r>
              <w:rPr>
                <w:b/>
              </w:rPr>
              <w:t>Pastoral</w:t>
            </w:r>
          </w:p>
        </w:tc>
      </w:tr>
      <w:tr w:rsidR="005B43FF" w:rsidTr="004F0138">
        <w:tc>
          <w:tcPr>
            <w:tcW w:w="10456" w:type="dxa"/>
          </w:tcPr>
          <w:p w:rsidR="003D320D" w:rsidRPr="003D320D" w:rsidRDefault="003D320D" w:rsidP="003D320D">
            <w:pPr>
              <w:pStyle w:val="ListParagraph"/>
              <w:numPr>
                <w:ilvl w:val="0"/>
                <w:numId w:val="12"/>
              </w:numPr>
            </w:pPr>
            <w:r w:rsidRPr="003D320D">
              <w:t>To offer support to students and staff where appropriate, working as part of the college pastoral team.</w:t>
            </w:r>
          </w:p>
          <w:p w:rsidR="005B43FF" w:rsidRDefault="005B43FF" w:rsidP="005B43FF">
            <w:pPr>
              <w:ind w:left="360"/>
            </w:pPr>
          </w:p>
        </w:tc>
      </w:tr>
      <w:tr w:rsidR="004F0138" w:rsidTr="004F0138">
        <w:tc>
          <w:tcPr>
            <w:tcW w:w="10456" w:type="dxa"/>
            <w:shd w:val="clear" w:color="auto" w:fill="B4C6E7" w:themeFill="accent1" w:themeFillTint="66"/>
          </w:tcPr>
          <w:p w:rsidR="004F0138" w:rsidRPr="004F0138" w:rsidRDefault="004F0138">
            <w:pPr>
              <w:rPr>
                <w:b/>
              </w:rPr>
            </w:pPr>
            <w:r w:rsidRPr="004F0138">
              <w:rPr>
                <w:b/>
              </w:rPr>
              <w:t>Other</w:t>
            </w:r>
          </w:p>
        </w:tc>
      </w:tr>
      <w:tr w:rsidR="004F0138" w:rsidTr="004F0138">
        <w:tc>
          <w:tcPr>
            <w:tcW w:w="10456" w:type="dxa"/>
          </w:tcPr>
          <w:p w:rsidR="003D320D" w:rsidRDefault="003D320D" w:rsidP="003D320D">
            <w:pPr>
              <w:pStyle w:val="ListParagraph"/>
              <w:numPr>
                <w:ilvl w:val="0"/>
                <w:numId w:val="12"/>
              </w:numPr>
            </w:pPr>
            <w:r>
              <w:t>To support the aims and objectives of the College.</w:t>
            </w:r>
          </w:p>
          <w:p w:rsidR="003D320D" w:rsidRDefault="003D320D" w:rsidP="003D320D">
            <w:pPr>
              <w:pStyle w:val="ListParagraph"/>
              <w:numPr>
                <w:ilvl w:val="0"/>
                <w:numId w:val="12"/>
              </w:numPr>
            </w:pPr>
            <w:r>
              <w:t>To attend meetings as appropriate.</w:t>
            </w:r>
          </w:p>
          <w:p w:rsidR="003D320D" w:rsidRDefault="003D320D" w:rsidP="003D320D">
            <w:pPr>
              <w:pStyle w:val="ListParagraph"/>
              <w:numPr>
                <w:ilvl w:val="0"/>
                <w:numId w:val="12"/>
              </w:numPr>
            </w:pPr>
            <w:r>
              <w:t>To undertake any other duties the Principal or h</w:t>
            </w:r>
            <w:r w:rsidR="00B028C3">
              <w:t>is</w:t>
            </w:r>
            <w:r>
              <w:t xml:space="preserve"> designated alternate may reasonably direct from time to time within the context of the Loreto College contract.</w:t>
            </w:r>
          </w:p>
          <w:p w:rsidR="003D320D" w:rsidRDefault="003D320D" w:rsidP="003D320D">
            <w:pPr>
              <w:pStyle w:val="ListParagraph"/>
              <w:numPr>
                <w:ilvl w:val="0"/>
                <w:numId w:val="12"/>
              </w:numPr>
            </w:pPr>
            <w:r>
              <w:t>This Job Description is subject to periodic review and amendment.</w:t>
            </w:r>
          </w:p>
          <w:p w:rsidR="00304A16" w:rsidRDefault="003D320D" w:rsidP="003D320D">
            <w:pPr>
              <w:pStyle w:val="ListParagraph"/>
              <w:numPr>
                <w:ilvl w:val="0"/>
                <w:numId w:val="12"/>
              </w:numPr>
            </w:pPr>
            <w:r>
              <w:lastRenderedPageBreak/>
              <w:t>The College is committed to safeguarding and promoting the welfare of young people and vulnerable adults and expects all staff and volunteers to share this commitment.</w:t>
            </w:r>
          </w:p>
        </w:tc>
      </w:tr>
    </w:tbl>
    <w:p w:rsidR="001918A0" w:rsidRDefault="001918A0">
      <w:pPr>
        <w:rPr>
          <w:b/>
        </w:rPr>
      </w:pPr>
    </w:p>
    <w:p w:rsidR="00304A16" w:rsidRPr="00304A16" w:rsidRDefault="00304A16">
      <w:pPr>
        <w:rPr>
          <w:b/>
        </w:rPr>
      </w:pPr>
      <w:r w:rsidRPr="00304A16">
        <w:rPr>
          <w:b/>
        </w:rPr>
        <w:t>Person Specification</w:t>
      </w:r>
    </w:p>
    <w:p w:rsidR="00304A16" w:rsidRDefault="00304A16">
      <w:r>
        <w:t>This person specification will be used in shortlisting and interviewing to select the best candidate. Each applicant should therefore address the person specification in their written application and where appropriate, give examples of how the criteria have been met.</w:t>
      </w:r>
    </w:p>
    <w:tbl>
      <w:tblPr>
        <w:tblStyle w:val="TableGrid"/>
        <w:tblW w:w="0" w:type="auto"/>
        <w:tblLook w:val="04A0" w:firstRow="1" w:lastRow="0" w:firstColumn="1" w:lastColumn="0" w:noHBand="0" w:noVBand="1"/>
      </w:tblPr>
      <w:tblGrid>
        <w:gridCol w:w="6941"/>
        <w:gridCol w:w="1134"/>
        <w:gridCol w:w="1134"/>
        <w:gridCol w:w="1247"/>
      </w:tblGrid>
      <w:tr w:rsidR="00304A16" w:rsidTr="00526BF4">
        <w:tc>
          <w:tcPr>
            <w:tcW w:w="6941" w:type="dxa"/>
          </w:tcPr>
          <w:p w:rsidR="00304A16" w:rsidRDefault="00304A16"/>
        </w:tc>
        <w:tc>
          <w:tcPr>
            <w:tcW w:w="1134" w:type="dxa"/>
            <w:vAlign w:val="center"/>
          </w:tcPr>
          <w:p w:rsidR="00304A16" w:rsidRPr="008208D8" w:rsidRDefault="00304A16" w:rsidP="00526BF4">
            <w:pPr>
              <w:jc w:val="center"/>
              <w:rPr>
                <w:b/>
                <w:sz w:val="20"/>
              </w:rPr>
            </w:pPr>
            <w:r w:rsidRPr="008208D8">
              <w:rPr>
                <w:b/>
                <w:sz w:val="20"/>
              </w:rPr>
              <w:t>Essential</w:t>
            </w:r>
          </w:p>
        </w:tc>
        <w:tc>
          <w:tcPr>
            <w:tcW w:w="1134" w:type="dxa"/>
            <w:vAlign w:val="center"/>
          </w:tcPr>
          <w:p w:rsidR="00304A16" w:rsidRPr="008208D8" w:rsidRDefault="00304A16" w:rsidP="00526BF4">
            <w:pPr>
              <w:jc w:val="center"/>
              <w:rPr>
                <w:b/>
                <w:sz w:val="20"/>
              </w:rPr>
            </w:pPr>
            <w:r w:rsidRPr="008208D8">
              <w:rPr>
                <w:b/>
                <w:sz w:val="20"/>
              </w:rPr>
              <w:t>Desirable</w:t>
            </w:r>
          </w:p>
        </w:tc>
        <w:tc>
          <w:tcPr>
            <w:tcW w:w="1247" w:type="dxa"/>
            <w:vAlign w:val="center"/>
          </w:tcPr>
          <w:p w:rsidR="00304A16" w:rsidRPr="008208D8" w:rsidRDefault="00304A16" w:rsidP="00526BF4">
            <w:pPr>
              <w:jc w:val="center"/>
              <w:rPr>
                <w:b/>
                <w:sz w:val="20"/>
              </w:rPr>
            </w:pPr>
            <w:r w:rsidRPr="008208D8">
              <w:rPr>
                <w:b/>
                <w:sz w:val="20"/>
              </w:rPr>
              <w:t>Method of assessment</w:t>
            </w:r>
          </w:p>
        </w:tc>
      </w:tr>
      <w:tr w:rsidR="008208D8" w:rsidTr="00A66B08">
        <w:tc>
          <w:tcPr>
            <w:tcW w:w="10456" w:type="dxa"/>
            <w:gridSpan w:val="4"/>
            <w:shd w:val="clear" w:color="auto" w:fill="B4C6E7" w:themeFill="accent1" w:themeFillTint="66"/>
          </w:tcPr>
          <w:p w:rsidR="008208D8" w:rsidRDefault="008208D8">
            <w:r w:rsidRPr="00304A16">
              <w:rPr>
                <w:b/>
              </w:rPr>
              <w:t>Experience</w:t>
            </w:r>
          </w:p>
        </w:tc>
      </w:tr>
      <w:tr w:rsidR="00392187" w:rsidTr="00392187">
        <w:tc>
          <w:tcPr>
            <w:tcW w:w="6941" w:type="dxa"/>
            <w:vAlign w:val="center"/>
          </w:tcPr>
          <w:p w:rsidR="00392187" w:rsidRPr="00FA4849" w:rsidRDefault="00BF79B6" w:rsidP="00392187">
            <w:pPr>
              <w:rPr>
                <w:rFonts w:cstheme="minorHAnsi"/>
                <w:sz w:val="18"/>
              </w:rPr>
            </w:pPr>
            <w:r w:rsidRPr="00BF79B6">
              <w:rPr>
                <w:rFonts w:cstheme="minorHAnsi"/>
                <w:sz w:val="18"/>
              </w:rPr>
              <w:t>Experience of counselling</w:t>
            </w:r>
          </w:p>
        </w:tc>
        <w:tc>
          <w:tcPr>
            <w:tcW w:w="1134" w:type="dxa"/>
          </w:tcPr>
          <w:p w:rsidR="00392187" w:rsidRPr="008208D8" w:rsidRDefault="00392187" w:rsidP="00392187">
            <w:pPr>
              <w:jc w:val="center"/>
              <w:rPr>
                <w:sz w:val="20"/>
              </w:rPr>
            </w:pPr>
          </w:p>
        </w:tc>
        <w:tc>
          <w:tcPr>
            <w:tcW w:w="1134" w:type="dxa"/>
            <w:vAlign w:val="center"/>
          </w:tcPr>
          <w:p w:rsidR="00392187" w:rsidRPr="008208D8" w:rsidRDefault="00BF79B6" w:rsidP="00392187">
            <w:pPr>
              <w:jc w:val="center"/>
              <w:rPr>
                <w:sz w:val="20"/>
              </w:rPr>
            </w:pPr>
            <w:r w:rsidRPr="00D377DD">
              <w:rPr>
                <w:rFonts w:ascii="Wingdings" w:eastAsia="Wingdings" w:hAnsi="Wingdings" w:cs="Wingdings"/>
              </w:rPr>
              <w:t></w:t>
            </w:r>
          </w:p>
        </w:tc>
        <w:tc>
          <w:tcPr>
            <w:tcW w:w="1247" w:type="dxa"/>
          </w:tcPr>
          <w:p w:rsidR="00392187" w:rsidRPr="00526BF4" w:rsidRDefault="00392187" w:rsidP="00392187">
            <w:pPr>
              <w:rPr>
                <w:sz w:val="14"/>
              </w:rPr>
            </w:pPr>
            <w:r w:rsidRPr="00526BF4">
              <w:rPr>
                <w:sz w:val="14"/>
              </w:rPr>
              <w:t>Application, interview</w:t>
            </w:r>
          </w:p>
        </w:tc>
      </w:tr>
      <w:tr w:rsidR="00BF79B6" w:rsidTr="0044358D">
        <w:tc>
          <w:tcPr>
            <w:tcW w:w="6941" w:type="dxa"/>
          </w:tcPr>
          <w:p w:rsidR="00BF79B6" w:rsidRPr="00BF79B6" w:rsidRDefault="00BF79B6" w:rsidP="00BF79B6">
            <w:pPr>
              <w:rPr>
                <w:sz w:val="18"/>
              </w:rPr>
            </w:pPr>
            <w:r w:rsidRPr="00BF79B6">
              <w:rPr>
                <w:sz w:val="18"/>
              </w:rPr>
              <w:t>Experience of organising Assemblies/Liturgies</w:t>
            </w:r>
          </w:p>
        </w:tc>
        <w:tc>
          <w:tcPr>
            <w:tcW w:w="1134" w:type="dxa"/>
          </w:tcPr>
          <w:p w:rsidR="00BF79B6" w:rsidRPr="008208D8" w:rsidRDefault="00BF79B6" w:rsidP="00BF79B6">
            <w:pPr>
              <w:jc w:val="center"/>
              <w:rPr>
                <w:sz w:val="20"/>
              </w:rPr>
            </w:pPr>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247" w:type="dxa"/>
          </w:tcPr>
          <w:p w:rsidR="00BF79B6" w:rsidRPr="00526BF4" w:rsidRDefault="00BF79B6" w:rsidP="00BF79B6">
            <w:pPr>
              <w:rPr>
                <w:sz w:val="14"/>
              </w:rPr>
            </w:pPr>
            <w:r w:rsidRPr="00526BF4">
              <w:rPr>
                <w:sz w:val="14"/>
              </w:rPr>
              <w:t>Application, interview</w:t>
            </w:r>
          </w:p>
        </w:tc>
      </w:tr>
      <w:tr w:rsidR="00BF79B6" w:rsidTr="0044358D">
        <w:tc>
          <w:tcPr>
            <w:tcW w:w="6941" w:type="dxa"/>
          </w:tcPr>
          <w:p w:rsidR="00BF79B6" w:rsidRPr="00BF79B6" w:rsidRDefault="00BF79B6" w:rsidP="00BF79B6">
            <w:pPr>
              <w:rPr>
                <w:sz w:val="18"/>
              </w:rPr>
            </w:pPr>
            <w:r w:rsidRPr="00BF79B6">
              <w:rPr>
                <w:sz w:val="18"/>
              </w:rPr>
              <w:t xml:space="preserve">Experience of working within an educational and diocesan context </w:t>
            </w:r>
          </w:p>
        </w:tc>
        <w:tc>
          <w:tcPr>
            <w:tcW w:w="1134" w:type="dxa"/>
          </w:tcPr>
          <w:p w:rsidR="00BF79B6" w:rsidRPr="00D377DD" w:rsidRDefault="00BF79B6" w:rsidP="00BF79B6">
            <w:pPr>
              <w:jc w:val="center"/>
              <w:rPr>
                <w:rFonts w:ascii="Wingdings" w:eastAsia="Wingdings" w:hAnsi="Wingdings" w:cs="Wingdings"/>
              </w:rPr>
            </w:pPr>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247" w:type="dxa"/>
          </w:tcPr>
          <w:p w:rsidR="00BF79B6" w:rsidRPr="00526BF4" w:rsidRDefault="00BF79B6" w:rsidP="00BF79B6">
            <w:pPr>
              <w:rPr>
                <w:sz w:val="14"/>
              </w:rPr>
            </w:pPr>
            <w:r w:rsidRPr="00526BF4">
              <w:rPr>
                <w:sz w:val="14"/>
              </w:rPr>
              <w:t>Application, interview</w:t>
            </w:r>
          </w:p>
        </w:tc>
      </w:tr>
      <w:tr w:rsidR="00BF79B6" w:rsidTr="0044358D">
        <w:tc>
          <w:tcPr>
            <w:tcW w:w="6941" w:type="dxa"/>
          </w:tcPr>
          <w:p w:rsidR="00BF79B6" w:rsidRPr="00BF79B6" w:rsidRDefault="00BF79B6" w:rsidP="00BF79B6">
            <w:pPr>
              <w:rPr>
                <w:sz w:val="18"/>
              </w:rPr>
            </w:pPr>
            <w:r w:rsidRPr="00BF79B6">
              <w:rPr>
                <w:sz w:val="18"/>
              </w:rPr>
              <w:t>Experience of working with young people</w:t>
            </w:r>
          </w:p>
        </w:tc>
        <w:tc>
          <w:tcPr>
            <w:tcW w:w="1134" w:type="dxa"/>
          </w:tcPr>
          <w:p w:rsidR="00BF79B6" w:rsidRPr="00D377DD" w:rsidRDefault="00BF79B6" w:rsidP="00BF79B6">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rPr>
            </w:pPr>
          </w:p>
        </w:tc>
        <w:tc>
          <w:tcPr>
            <w:tcW w:w="1247" w:type="dxa"/>
          </w:tcPr>
          <w:p w:rsidR="00BF79B6" w:rsidRPr="00526BF4" w:rsidRDefault="00BF79B6" w:rsidP="00BF79B6">
            <w:pPr>
              <w:rPr>
                <w:sz w:val="14"/>
              </w:rPr>
            </w:pPr>
            <w:r w:rsidRPr="00526BF4">
              <w:rPr>
                <w:sz w:val="14"/>
              </w:rPr>
              <w:t>Application, interview</w:t>
            </w:r>
          </w:p>
        </w:tc>
      </w:tr>
      <w:tr w:rsidR="008208D8" w:rsidTr="00A66B08">
        <w:tc>
          <w:tcPr>
            <w:tcW w:w="10456" w:type="dxa"/>
            <w:gridSpan w:val="4"/>
            <w:shd w:val="clear" w:color="auto" w:fill="B4C6E7" w:themeFill="accent1" w:themeFillTint="66"/>
          </w:tcPr>
          <w:p w:rsidR="008208D8" w:rsidRPr="00304A16" w:rsidRDefault="008208D8">
            <w:pPr>
              <w:rPr>
                <w:b/>
              </w:rPr>
            </w:pPr>
            <w:r w:rsidRPr="00304A16">
              <w:rPr>
                <w:b/>
              </w:rPr>
              <w:t>Skills and knowledge</w:t>
            </w:r>
          </w:p>
        </w:tc>
      </w:tr>
      <w:tr w:rsidR="00BF79B6" w:rsidTr="0044358D">
        <w:tc>
          <w:tcPr>
            <w:tcW w:w="6941" w:type="dxa"/>
          </w:tcPr>
          <w:p w:rsidR="00BF79B6" w:rsidRPr="00BF79B6" w:rsidRDefault="00BF79B6" w:rsidP="00BF79B6">
            <w:pPr>
              <w:jc w:val="both"/>
              <w:rPr>
                <w:rFonts w:cstheme="minorHAnsi"/>
                <w:sz w:val="18"/>
                <w:szCs w:val="16"/>
              </w:rPr>
            </w:pPr>
            <w:r w:rsidRPr="00BF79B6">
              <w:rPr>
                <w:rFonts w:cstheme="minorHAnsi"/>
                <w:sz w:val="18"/>
                <w:szCs w:val="16"/>
              </w:rPr>
              <w:t>Excellent organisational and administrative skills</w:t>
            </w:r>
          </w:p>
        </w:tc>
        <w:tc>
          <w:tcPr>
            <w:tcW w:w="1134" w:type="dxa"/>
            <w:vAlign w:val="center"/>
          </w:tcPr>
          <w:p w:rsidR="00BF79B6" w:rsidRPr="00392187" w:rsidRDefault="00BF79B6" w:rsidP="00BF79B6">
            <w:pPr>
              <w:jc w:val="center"/>
              <w:rPr>
                <w:rFonts w:cstheme="minorHAnsi"/>
                <w:sz w:val="18"/>
              </w:rPr>
            </w:pPr>
            <w:r w:rsidRPr="005C4E7D">
              <w:rPr>
                <w:rFonts w:ascii="Wingdings" w:eastAsia="Wingdings" w:hAnsi="Wingdings" w:cs="Wingdings"/>
              </w:rPr>
              <w:t></w:t>
            </w:r>
          </w:p>
        </w:tc>
        <w:tc>
          <w:tcPr>
            <w:tcW w:w="1134" w:type="dxa"/>
            <w:vAlign w:val="center"/>
          </w:tcPr>
          <w:p w:rsidR="00BF79B6" w:rsidRDefault="00BF79B6" w:rsidP="00BF79B6">
            <w:pPr>
              <w:jc w:val="center"/>
            </w:pPr>
          </w:p>
        </w:tc>
        <w:tc>
          <w:tcPr>
            <w:tcW w:w="1247" w:type="dxa"/>
          </w:tcPr>
          <w:p w:rsidR="00BF79B6" w:rsidRPr="00BF79B6" w:rsidRDefault="00BF79B6" w:rsidP="00BF79B6">
            <w:pPr>
              <w:rPr>
                <w:sz w:val="18"/>
              </w:rPr>
            </w:pPr>
            <w:r w:rsidRPr="00BF79B6">
              <w:rPr>
                <w:sz w:val="18"/>
              </w:rPr>
              <w:t>Interview</w:t>
            </w:r>
          </w:p>
        </w:tc>
      </w:tr>
      <w:tr w:rsidR="00BF79B6" w:rsidTr="0044358D">
        <w:tc>
          <w:tcPr>
            <w:tcW w:w="6941" w:type="dxa"/>
          </w:tcPr>
          <w:p w:rsidR="00BF79B6" w:rsidRPr="00BF79B6" w:rsidRDefault="00BF79B6" w:rsidP="00BF79B6">
            <w:pPr>
              <w:jc w:val="both"/>
              <w:rPr>
                <w:rFonts w:cstheme="minorHAnsi"/>
                <w:sz w:val="18"/>
                <w:szCs w:val="16"/>
              </w:rPr>
            </w:pPr>
            <w:r w:rsidRPr="00BF79B6">
              <w:rPr>
                <w:rFonts w:cstheme="minorHAnsi"/>
                <w:sz w:val="18"/>
                <w:szCs w:val="16"/>
              </w:rPr>
              <w:t>The ability to recognise and appreciate the confidential nature of some work undertaken and work to college policies regarding confidentiality</w:t>
            </w:r>
          </w:p>
        </w:tc>
        <w:tc>
          <w:tcPr>
            <w:tcW w:w="1134" w:type="dxa"/>
            <w:vAlign w:val="center"/>
          </w:tcPr>
          <w:p w:rsidR="00BF79B6" w:rsidRPr="00392187" w:rsidRDefault="00BF79B6" w:rsidP="00BF79B6">
            <w:pPr>
              <w:jc w:val="center"/>
              <w:rPr>
                <w:rFonts w:cstheme="minorHAnsi"/>
                <w:sz w:val="18"/>
              </w:rPr>
            </w:pPr>
            <w:r w:rsidRPr="005C4E7D">
              <w:rPr>
                <w:rFonts w:ascii="Wingdings" w:eastAsia="Wingdings" w:hAnsi="Wingdings" w:cs="Wingdings"/>
              </w:rPr>
              <w:t></w:t>
            </w:r>
          </w:p>
        </w:tc>
        <w:tc>
          <w:tcPr>
            <w:tcW w:w="1134" w:type="dxa"/>
            <w:vAlign w:val="center"/>
          </w:tcPr>
          <w:p w:rsidR="00BF79B6" w:rsidRDefault="00BF79B6" w:rsidP="00BF79B6">
            <w:pPr>
              <w:jc w:val="center"/>
            </w:pPr>
          </w:p>
        </w:tc>
        <w:tc>
          <w:tcPr>
            <w:tcW w:w="1247" w:type="dxa"/>
          </w:tcPr>
          <w:p w:rsidR="00BF79B6" w:rsidRPr="00BF79B6" w:rsidRDefault="00BF79B6" w:rsidP="00BF79B6">
            <w:pPr>
              <w:rPr>
                <w:sz w:val="18"/>
              </w:rPr>
            </w:pPr>
            <w:r>
              <w:rPr>
                <w:sz w:val="18"/>
              </w:rPr>
              <w:t>Interview</w:t>
            </w:r>
          </w:p>
        </w:tc>
      </w:tr>
      <w:tr w:rsidR="00BF79B6" w:rsidTr="0044358D">
        <w:tc>
          <w:tcPr>
            <w:tcW w:w="6941" w:type="dxa"/>
          </w:tcPr>
          <w:p w:rsidR="00BF79B6" w:rsidRPr="00BF79B6" w:rsidRDefault="00BF79B6" w:rsidP="00BF79B6">
            <w:pPr>
              <w:jc w:val="both"/>
              <w:rPr>
                <w:rFonts w:cstheme="minorHAnsi"/>
                <w:sz w:val="18"/>
                <w:szCs w:val="16"/>
              </w:rPr>
            </w:pPr>
            <w:r w:rsidRPr="00BF79B6">
              <w:rPr>
                <w:rFonts w:cstheme="minorHAnsi"/>
                <w:sz w:val="18"/>
                <w:szCs w:val="16"/>
              </w:rPr>
              <w:t xml:space="preserve">Ability to empathise with </w:t>
            </w:r>
            <w:proofErr w:type="gramStart"/>
            <w:r w:rsidRPr="00BF79B6">
              <w:rPr>
                <w:rFonts w:cstheme="minorHAnsi"/>
                <w:sz w:val="18"/>
                <w:szCs w:val="16"/>
              </w:rPr>
              <w:t>16-19 year</w:t>
            </w:r>
            <w:proofErr w:type="gramEnd"/>
            <w:r w:rsidRPr="00BF79B6">
              <w:rPr>
                <w:rFonts w:cstheme="minorHAnsi"/>
                <w:sz w:val="18"/>
                <w:szCs w:val="16"/>
              </w:rPr>
              <w:t xml:space="preserve"> olds within a college situation</w:t>
            </w:r>
          </w:p>
        </w:tc>
        <w:tc>
          <w:tcPr>
            <w:tcW w:w="1134" w:type="dxa"/>
            <w:vAlign w:val="center"/>
          </w:tcPr>
          <w:p w:rsidR="00BF79B6" w:rsidRDefault="00BF79B6" w:rsidP="00BF79B6">
            <w:pPr>
              <w:jc w:val="center"/>
            </w:pPr>
            <w:r w:rsidRPr="005C4E7D">
              <w:rPr>
                <w:rFonts w:ascii="Wingdings" w:eastAsia="Wingdings" w:hAnsi="Wingdings" w:cs="Wingdings"/>
              </w:rPr>
              <w:t></w:t>
            </w:r>
          </w:p>
        </w:tc>
        <w:tc>
          <w:tcPr>
            <w:tcW w:w="1134" w:type="dxa"/>
            <w:vAlign w:val="center"/>
          </w:tcPr>
          <w:p w:rsidR="00BF79B6" w:rsidRPr="00392187" w:rsidRDefault="00BF79B6" w:rsidP="00BF79B6">
            <w:pPr>
              <w:jc w:val="center"/>
              <w:rPr>
                <w:rFonts w:cstheme="minorHAnsi"/>
                <w:sz w:val="18"/>
              </w:rPr>
            </w:pPr>
          </w:p>
        </w:tc>
        <w:tc>
          <w:tcPr>
            <w:tcW w:w="1247" w:type="dxa"/>
          </w:tcPr>
          <w:p w:rsidR="00BF79B6" w:rsidRPr="00BF79B6" w:rsidRDefault="00BF79B6" w:rsidP="00BF79B6">
            <w:pPr>
              <w:rPr>
                <w:sz w:val="18"/>
              </w:rPr>
            </w:pPr>
            <w:r w:rsidRPr="00BF79B6">
              <w:rPr>
                <w:sz w:val="18"/>
              </w:rPr>
              <w:t>Interview</w:t>
            </w:r>
          </w:p>
        </w:tc>
      </w:tr>
      <w:tr w:rsidR="00BF79B6" w:rsidTr="0044358D">
        <w:tc>
          <w:tcPr>
            <w:tcW w:w="6941" w:type="dxa"/>
          </w:tcPr>
          <w:p w:rsidR="00BF79B6" w:rsidRPr="00BF79B6" w:rsidRDefault="00BF79B6" w:rsidP="00BF79B6">
            <w:pPr>
              <w:jc w:val="both"/>
              <w:rPr>
                <w:rFonts w:cstheme="minorHAnsi"/>
                <w:sz w:val="18"/>
                <w:szCs w:val="16"/>
              </w:rPr>
            </w:pPr>
          </w:p>
          <w:p w:rsidR="00BF79B6" w:rsidRPr="00BF79B6" w:rsidRDefault="00BF79B6" w:rsidP="00BF79B6">
            <w:pPr>
              <w:jc w:val="both"/>
              <w:rPr>
                <w:rFonts w:cstheme="minorHAnsi"/>
                <w:sz w:val="18"/>
                <w:szCs w:val="16"/>
              </w:rPr>
            </w:pPr>
            <w:r w:rsidRPr="00BF79B6">
              <w:rPr>
                <w:rFonts w:cstheme="minorHAnsi"/>
                <w:sz w:val="18"/>
                <w:szCs w:val="16"/>
              </w:rPr>
              <w:t xml:space="preserve">Ability to empathise with </w:t>
            </w:r>
            <w:proofErr w:type="gramStart"/>
            <w:r w:rsidRPr="00BF79B6">
              <w:rPr>
                <w:rFonts w:cstheme="minorHAnsi"/>
                <w:sz w:val="18"/>
                <w:szCs w:val="16"/>
              </w:rPr>
              <w:t>11-16 year</w:t>
            </w:r>
            <w:proofErr w:type="gramEnd"/>
            <w:r w:rsidRPr="00BF79B6">
              <w:rPr>
                <w:rFonts w:cstheme="minorHAnsi"/>
                <w:sz w:val="18"/>
                <w:szCs w:val="16"/>
              </w:rPr>
              <w:t xml:space="preserve"> olds in a high school situation</w:t>
            </w:r>
          </w:p>
        </w:tc>
        <w:tc>
          <w:tcPr>
            <w:tcW w:w="1134" w:type="dxa"/>
            <w:vAlign w:val="center"/>
          </w:tcPr>
          <w:p w:rsidR="00BF79B6" w:rsidRDefault="00BF79B6" w:rsidP="00BF79B6">
            <w:pPr>
              <w:jc w:val="center"/>
            </w:pPr>
          </w:p>
        </w:tc>
        <w:tc>
          <w:tcPr>
            <w:tcW w:w="1134" w:type="dxa"/>
            <w:vAlign w:val="center"/>
          </w:tcPr>
          <w:p w:rsidR="00BF79B6" w:rsidRPr="00392187" w:rsidRDefault="00792B0F" w:rsidP="00BF79B6">
            <w:pPr>
              <w:jc w:val="center"/>
              <w:rPr>
                <w:rFonts w:cstheme="minorHAnsi"/>
                <w:sz w:val="18"/>
              </w:rPr>
            </w:pPr>
            <w:r w:rsidRPr="005C4E7D">
              <w:rPr>
                <w:rFonts w:ascii="Wingdings" w:eastAsia="Wingdings" w:hAnsi="Wingdings" w:cs="Wingdings"/>
              </w:rPr>
              <w:t></w:t>
            </w:r>
          </w:p>
        </w:tc>
        <w:tc>
          <w:tcPr>
            <w:tcW w:w="1247" w:type="dxa"/>
          </w:tcPr>
          <w:p w:rsidR="00BF79B6" w:rsidRPr="00BF79B6" w:rsidRDefault="00BF79B6" w:rsidP="00BF79B6">
            <w:pPr>
              <w:rPr>
                <w:sz w:val="18"/>
              </w:rPr>
            </w:pPr>
            <w:r w:rsidRPr="00BF79B6">
              <w:rPr>
                <w:sz w:val="18"/>
              </w:rPr>
              <w:t>Interview</w:t>
            </w:r>
          </w:p>
        </w:tc>
      </w:tr>
      <w:tr w:rsidR="00BF79B6" w:rsidTr="0044358D">
        <w:tc>
          <w:tcPr>
            <w:tcW w:w="6941" w:type="dxa"/>
          </w:tcPr>
          <w:p w:rsidR="00BF79B6" w:rsidRPr="00BF79B6" w:rsidRDefault="00BF79B6" w:rsidP="00BF79B6">
            <w:pPr>
              <w:jc w:val="both"/>
              <w:rPr>
                <w:rFonts w:cstheme="minorHAnsi"/>
                <w:sz w:val="18"/>
                <w:szCs w:val="16"/>
              </w:rPr>
            </w:pPr>
          </w:p>
          <w:p w:rsidR="00BF79B6" w:rsidRPr="00BF79B6" w:rsidRDefault="00BF79B6" w:rsidP="00BF79B6">
            <w:pPr>
              <w:jc w:val="both"/>
              <w:rPr>
                <w:rFonts w:cstheme="minorHAnsi"/>
                <w:sz w:val="18"/>
                <w:szCs w:val="16"/>
              </w:rPr>
            </w:pPr>
            <w:r w:rsidRPr="00BF79B6">
              <w:rPr>
                <w:rFonts w:cstheme="minorHAnsi"/>
                <w:sz w:val="18"/>
                <w:szCs w:val="16"/>
              </w:rPr>
              <w:t>A clear understanding of developments in post-16 education</w:t>
            </w:r>
          </w:p>
        </w:tc>
        <w:tc>
          <w:tcPr>
            <w:tcW w:w="1134" w:type="dxa"/>
            <w:vAlign w:val="center"/>
          </w:tcPr>
          <w:p w:rsidR="00BF79B6" w:rsidRPr="00392187" w:rsidRDefault="00BF79B6" w:rsidP="00BF79B6">
            <w:pPr>
              <w:jc w:val="center"/>
              <w:rPr>
                <w:rFonts w:cstheme="minorHAnsi"/>
                <w:sz w:val="18"/>
              </w:rPr>
            </w:pPr>
          </w:p>
        </w:tc>
        <w:tc>
          <w:tcPr>
            <w:tcW w:w="1134" w:type="dxa"/>
            <w:vAlign w:val="center"/>
          </w:tcPr>
          <w:p w:rsidR="00BF79B6" w:rsidRPr="00392187" w:rsidRDefault="00BF79B6" w:rsidP="00BF79B6">
            <w:pPr>
              <w:jc w:val="center"/>
              <w:rPr>
                <w:rFonts w:cstheme="minorHAnsi"/>
                <w:sz w:val="18"/>
              </w:rPr>
            </w:pPr>
            <w:r w:rsidRPr="005C4E7D">
              <w:rPr>
                <w:rFonts w:ascii="Wingdings" w:eastAsia="Wingdings" w:hAnsi="Wingdings" w:cs="Wingdings"/>
              </w:rPr>
              <w:t></w:t>
            </w:r>
          </w:p>
        </w:tc>
        <w:tc>
          <w:tcPr>
            <w:tcW w:w="1247" w:type="dxa"/>
          </w:tcPr>
          <w:p w:rsidR="00BF79B6" w:rsidRPr="00BF79B6" w:rsidRDefault="00BF79B6" w:rsidP="00BF79B6">
            <w:pPr>
              <w:rPr>
                <w:sz w:val="18"/>
              </w:rPr>
            </w:pPr>
            <w:r w:rsidRPr="00BF79B6">
              <w:rPr>
                <w:sz w:val="18"/>
              </w:rPr>
              <w:t>Application, Interview</w:t>
            </w:r>
          </w:p>
        </w:tc>
      </w:tr>
      <w:tr w:rsidR="00BF79B6" w:rsidTr="0044358D">
        <w:tc>
          <w:tcPr>
            <w:tcW w:w="6941" w:type="dxa"/>
          </w:tcPr>
          <w:p w:rsidR="00BF79B6" w:rsidRPr="00BF79B6" w:rsidRDefault="00BF79B6" w:rsidP="00BF79B6">
            <w:pPr>
              <w:jc w:val="both"/>
              <w:rPr>
                <w:rFonts w:cstheme="minorHAnsi"/>
                <w:sz w:val="18"/>
                <w:szCs w:val="16"/>
              </w:rPr>
            </w:pPr>
            <w:r w:rsidRPr="00BF79B6">
              <w:rPr>
                <w:rFonts w:cstheme="minorHAnsi"/>
                <w:sz w:val="18"/>
                <w:szCs w:val="16"/>
              </w:rPr>
              <w:t>Ability to prioritise a demanding and changeable workload</w:t>
            </w:r>
          </w:p>
        </w:tc>
        <w:tc>
          <w:tcPr>
            <w:tcW w:w="1134" w:type="dxa"/>
            <w:vAlign w:val="center"/>
          </w:tcPr>
          <w:p w:rsidR="00BF79B6" w:rsidRPr="008208D8" w:rsidRDefault="00BF79B6" w:rsidP="00BF79B6">
            <w:pPr>
              <w:jc w:val="center"/>
              <w:rPr>
                <w:sz w:val="20"/>
                <w:szCs w:val="20"/>
              </w:rPr>
            </w:pPr>
            <w:r w:rsidRPr="00D377DD">
              <w:rPr>
                <w:rFonts w:ascii="Wingdings" w:eastAsia="Wingdings" w:hAnsi="Wingdings" w:cs="Wingdings"/>
              </w:rPr>
              <w:t></w:t>
            </w:r>
          </w:p>
        </w:tc>
        <w:tc>
          <w:tcPr>
            <w:tcW w:w="1134" w:type="dxa"/>
            <w:vAlign w:val="center"/>
          </w:tcPr>
          <w:p w:rsidR="00BF79B6" w:rsidRPr="00392187" w:rsidRDefault="00BF79B6" w:rsidP="00BF79B6">
            <w:pPr>
              <w:jc w:val="center"/>
              <w:rPr>
                <w:rFonts w:cstheme="minorHAnsi"/>
                <w:sz w:val="18"/>
              </w:rPr>
            </w:pPr>
          </w:p>
        </w:tc>
        <w:tc>
          <w:tcPr>
            <w:tcW w:w="1247" w:type="dxa"/>
          </w:tcPr>
          <w:p w:rsidR="00BF79B6" w:rsidRPr="00BF79B6" w:rsidRDefault="00BF79B6" w:rsidP="00BF79B6">
            <w:pPr>
              <w:rPr>
                <w:sz w:val="18"/>
              </w:rPr>
            </w:pPr>
            <w:r w:rsidRPr="00BF79B6">
              <w:rPr>
                <w:sz w:val="18"/>
              </w:rPr>
              <w:t>Interview</w:t>
            </w:r>
          </w:p>
        </w:tc>
      </w:tr>
      <w:tr w:rsidR="00BF79B6" w:rsidTr="0044358D">
        <w:tc>
          <w:tcPr>
            <w:tcW w:w="6941" w:type="dxa"/>
          </w:tcPr>
          <w:p w:rsidR="00BF79B6" w:rsidRPr="00BF79B6" w:rsidRDefault="00BF79B6" w:rsidP="00BF79B6">
            <w:pPr>
              <w:jc w:val="both"/>
              <w:rPr>
                <w:rFonts w:cstheme="minorHAnsi"/>
                <w:sz w:val="18"/>
                <w:szCs w:val="16"/>
              </w:rPr>
            </w:pPr>
          </w:p>
          <w:p w:rsidR="00BF79B6" w:rsidRPr="00BF79B6" w:rsidRDefault="00BF79B6" w:rsidP="00BF79B6">
            <w:pPr>
              <w:jc w:val="both"/>
              <w:rPr>
                <w:rFonts w:cstheme="minorHAnsi"/>
                <w:sz w:val="18"/>
                <w:szCs w:val="16"/>
              </w:rPr>
            </w:pPr>
            <w:r w:rsidRPr="00BF79B6">
              <w:rPr>
                <w:rFonts w:cstheme="minorHAnsi"/>
                <w:sz w:val="18"/>
                <w:szCs w:val="16"/>
              </w:rPr>
              <w:t>High level of literacy/communication skills</w:t>
            </w:r>
          </w:p>
        </w:tc>
        <w:tc>
          <w:tcPr>
            <w:tcW w:w="1134" w:type="dxa"/>
            <w:vAlign w:val="center"/>
          </w:tcPr>
          <w:p w:rsidR="00BF79B6" w:rsidRPr="008208D8" w:rsidRDefault="00BF79B6" w:rsidP="00BF79B6">
            <w:pPr>
              <w:jc w:val="center"/>
              <w:rPr>
                <w:sz w:val="20"/>
                <w:szCs w:val="20"/>
              </w:rPr>
            </w:pPr>
            <w:r w:rsidRPr="00D377DD">
              <w:rPr>
                <w:rFonts w:ascii="Wingdings" w:eastAsia="Wingdings" w:hAnsi="Wingdings" w:cs="Wingdings"/>
              </w:rPr>
              <w:t></w:t>
            </w:r>
          </w:p>
        </w:tc>
        <w:tc>
          <w:tcPr>
            <w:tcW w:w="1134" w:type="dxa"/>
            <w:vAlign w:val="center"/>
          </w:tcPr>
          <w:p w:rsidR="00BF79B6" w:rsidRPr="00392187" w:rsidRDefault="00BF79B6" w:rsidP="00BF79B6">
            <w:pPr>
              <w:jc w:val="center"/>
              <w:rPr>
                <w:rFonts w:cstheme="minorHAnsi"/>
                <w:sz w:val="18"/>
              </w:rPr>
            </w:pPr>
          </w:p>
        </w:tc>
        <w:tc>
          <w:tcPr>
            <w:tcW w:w="1247" w:type="dxa"/>
          </w:tcPr>
          <w:p w:rsidR="00BF79B6" w:rsidRPr="00BF79B6" w:rsidRDefault="00BF79B6" w:rsidP="00BF79B6">
            <w:pPr>
              <w:rPr>
                <w:sz w:val="18"/>
              </w:rPr>
            </w:pPr>
            <w:r w:rsidRPr="00BF79B6">
              <w:rPr>
                <w:sz w:val="18"/>
              </w:rPr>
              <w:t>Application, Interview</w:t>
            </w:r>
          </w:p>
        </w:tc>
      </w:tr>
      <w:tr w:rsidR="00BF79B6" w:rsidTr="0044358D">
        <w:tc>
          <w:tcPr>
            <w:tcW w:w="6941" w:type="dxa"/>
          </w:tcPr>
          <w:p w:rsidR="00BF79B6" w:rsidRPr="00BF79B6" w:rsidRDefault="00BF79B6" w:rsidP="00BF79B6">
            <w:pPr>
              <w:jc w:val="both"/>
              <w:rPr>
                <w:rFonts w:cstheme="minorHAnsi"/>
                <w:sz w:val="18"/>
                <w:szCs w:val="16"/>
              </w:rPr>
            </w:pPr>
            <w:r w:rsidRPr="00BF79B6">
              <w:rPr>
                <w:rFonts w:cstheme="minorHAnsi"/>
                <w:sz w:val="18"/>
                <w:szCs w:val="16"/>
              </w:rPr>
              <w:t>Ability to adapt quickly to new environments/technologies</w:t>
            </w:r>
          </w:p>
        </w:tc>
        <w:tc>
          <w:tcPr>
            <w:tcW w:w="1134" w:type="dxa"/>
            <w:vAlign w:val="center"/>
          </w:tcPr>
          <w:p w:rsidR="00BF79B6" w:rsidRPr="008208D8" w:rsidRDefault="00BF79B6" w:rsidP="00BF79B6">
            <w:pPr>
              <w:jc w:val="center"/>
              <w:rPr>
                <w:sz w:val="20"/>
                <w:szCs w:val="20"/>
              </w:rPr>
            </w:pPr>
            <w:r w:rsidRPr="00D377DD">
              <w:rPr>
                <w:rFonts w:ascii="Wingdings" w:eastAsia="Wingdings" w:hAnsi="Wingdings" w:cs="Wingdings"/>
              </w:rPr>
              <w:t></w:t>
            </w:r>
          </w:p>
        </w:tc>
        <w:tc>
          <w:tcPr>
            <w:tcW w:w="1134" w:type="dxa"/>
            <w:vAlign w:val="center"/>
          </w:tcPr>
          <w:p w:rsidR="00BF79B6" w:rsidRPr="00392187" w:rsidRDefault="00BF79B6" w:rsidP="00BF79B6">
            <w:pPr>
              <w:jc w:val="center"/>
              <w:rPr>
                <w:rFonts w:cstheme="minorHAnsi"/>
                <w:sz w:val="18"/>
              </w:rPr>
            </w:pPr>
          </w:p>
        </w:tc>
        <w:tc>
          <w:tcPr>
            <w:tcW w:w="1247" w:type="dxa"/>
          </w:tcPr>
          <w:p w:rsidR="00BF79B6" w:rsidRPr="00BF79B6" w:rsidRDefault="00BF79B6" w:rsidP="00BF79B6">
            <w:pPr>
              <w:rPr>
                <w:sz w:val="18"/>
              </w:rPr>
            </w:pPr>
            <w:r w:rsidRPr="00BF79B6">
              <w:rPr>
                <w:sz w:val="18"/>
              </w:rPr>
              <w:t>Interview</w:t>
            </w:r>
          </w:p>
        </w:tc>
      </w:tr>
      <w:tr w:rsidR="00BF79B6" w:rsidTr="0044358D">
        <w:tc>
          <w:tcPr>
            <w:tcW w:w="6941" w:type="dxa"/>
          </w:tcPr>
          <w:p w:rsidR="00BF79B6" w:rsidRPr="00BF79B6" w:rsidRDefault="00BF79B6" w:rsidP="00BF79B6">
            <w:pPr>
              <w:jc w:val="both"/>
              <w:rPr>
                <w:rFonts w:cstheme="minorHAnsi"/>
                <w:b/>
                <w:sz w:val="18"/>
                <w:szCs w:val="16"/>
              </w:rPr>
            </w:pPr>
            <w:r w:rsidRPr="00BF79B6">
              <w:rPr>
                <w:rFonts w:cstheme="minorHAnsi"/>
                <w:sz w:val="18"/>
                <w:szCs w:val="16"/>
              </w:rPr>
              <w:t>Ability to meet deadlines</w:t>
            </w:r>
          </w:p>
        </w:tc>
        <w:tc>
          <w:tcPr>
            <w:tcW w:w="1134" w:type="dxa"/>
            <w:vAlign w:val="center"/>
          </w:tcPr>
          <w:p w:rsidR="00BF79B6" w:rsidRPr="008208D8" w:rsidRDefault="00BF79B6" w:rsidP="00BF79B6">
            <w:pPr>
              <w:jc w:val="center"/>
              <w:rPr>
                <w:sz w:val="20"/>
                <w:szCs w:val="20"/>
              </w:rPr>
            </w:pPr>
            <w:r w:rsidRPr="00D377DD">
              <w:rPr>
                <w:rFonts w:ascii="Wingdings" w:eastAsia="Wingdings" w:hAnsi="Wingdings" w:cs="Wingdings"/>
              </w:rPr>
              <w:t></w:t>
            </w:r>
          </w:p>
        </w:tc>
        <w:tc>
          <w:tcPr>
            <w:tcW w:w="1134" w:type="dxa"/>
            <w:vAlign w:val="center"/>
          </w:tcPr>
          <w:p w:rsidR="00BF79B6" w:rsidRPr="00392187" w:rsidRDefault="00BF79B6" w:rsidP="00BF79B6">
            <w:pPr>
              <w:jc w:val="center"/>
              <w:rPr>
                <w:rFonts w:cstheme="minorHAnsi"/>
                <w:sz w:val="18"/>
              </w:rPr>
            </w:pPr>
          </w:p>
        </w:tc>
        <w:tc>
          <w:tcPr>
            <w:tcW w:w="1247" w:type="dxa"/>
          </w:tcPr>
          <w:p w:rsidR="00BF79B6" w:rsidRPr="00BF79B6" w:rsidRDefault="00BF79B6" w:rsidP="00BF79B6">
            <w:pPr>
              <w:rPr>
                <w:sz w:val="18"/>
              </w:rPr>
            </w:pPr>
            <w:r w:rsidRPr="00BF79B6">
              <w:rPr>
                <w:sz w:val="18"/>
              </w:rPr>
              <w:t>Interview</w:t>
            </w:r>
          </w:p>
        </w:tc>
      </w:tr>
      <w:tr w:rsidR="00BF79B6" w:rsidTr="0044358D">
        <w:tc>
          <w:tcPr>
            <w:tcW w:w="6941" w:type="dxa"/>
          </w:tcPr>
          <w:p w:rsidR="00BF79B6" w:rsidRPr="00BF79B6" w:rsidRDefault="00BF79B6" w:rsidP="00BF79B6">
            <w:pPr>
              <w:jc w:val="both"/>
              <w:rPr>
                <w:rFonts w:cstheme="minorHAnsi"/>
                <w:sz w:val="18"/>
                <w:szCs w:val="16"/>
              </w:rPr>
            </w:pPr>
          </w:p>
          <w:p w:rsidR="00BF79B6" w:rsidRPr="00BF79B6" w:rsidRDefault="00BF79B6" w:rsidP="00BF79B6">
            <w:pPr>
              <w:jc w:val="both"/>
              <w:rPr>
                <w:rFonts w:cstheme="minorHAnsi"/>
                <w:sz w:val="18"/>
                <w:szCs w:val="16"/>
              </w:rPr>
            </w:pPr>
            <w:r w:rsidRPr="00BF79B6">
              <w:rPr>
                <w:rFonts w:cstheme="minorHAnsi"/>
                <w:sz w:val="18"/>
                <w:szCs w:val="16"/>
              </w:rPr>
              <w:t>Excellent presentational skills, orally and written</w:t>
            </w:r>
          </w:p>
        </w:tc>
        <w:tc>
          <w:tcPr>
            <w:tcW w:w="1134" w:type="dxa"/>
            <w:vAlign w:val="center"/>
          </w:tcPr>
          <w:p w:rsidR="00BF79B6" w:rsidRPr="008208D8" w:rsidRDefault="00BF79B6" w:rsidP="00BF79B6">
            <w:pPr>
              <w:jc w:val="center"/>
              <w:rPr>
                <w:sz w:val="20"/>
                <w:szCs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szCs w:val="20"/>
              </w:rPr>
            </w:pPr>
          </w:p>
        </w:tc>
        <w:tc>
          <w:tcPr>
            <w:tcW w:w="1247" w:type="dxa"/>
          </w:tcPr>
          <w:p w:rsidR="00BF79B6" w:rsidRPr="00BF79B6" w:rsidRDefault="00BF79B6" w:rsidP="00BF79B6">
            <w:pPr>
              <w:rPr>
                <w:sz w:val="18"/>
              </w:rPr>
            </w:pPr>
            <w:r w:rsidRPr="00BF79B6">
              <w:rPr>
                <w:sz w:val="18"/>
              </w:rPr>
              <w:t>Application, Interview</w:t>
            </w:r>
          </w:p>
        </w:tc>
      </w:tr>
      <w:tr w:rsidR="00BF79B6" w:rsidTr="0044358D">
        <w:tc>
          <w:tcPr>
            <w:tcW w:w="6941" w:type="dxa"/>
          </w:tcPr>
          <w:p w:rsidR="00BF79B6" w:rsidRPr="00BF79B6" w:rsidRDefault="00BF79B6" w:rsidP="00BF79B6">
            <w:pPr>
              <w:jc w:val="both"/>
              <w:rPr>
                <w:rFonts w:cstheme="minorHAnsi"/>
                <w:sz w:val="18"/>
                <w:szCs w:val="16"/>
              </w:rPr>
            </w:pPr>
            <w:r w:rsidRPr="00BF79B6">
              <w:rPr>
                <w:rFonts w:cstheme="minorHAnsi"/>
                <w:sz w:val="18"/>
                <w:szCs w:val="16"/>
              </w:rPr>
              <w:t>Ability to relate well with staff and students</w:t>
            </w:r>
          </w:p>
        </w:tc>
        <w:tc>
          <w:tcPr>
            <w:tcW w:w="1134" w:type="dxa"/>
            <w:vAlign w:val="center"/>
          </w:tcPr>
          <w:p w:rsidR="00BF79B6" w:rsidRPr="008208D8" w:rsidRDefault="00BF79B6" w:rsidP="00BF79B6">
            <w:pPr>
              <w:jc w:val="center"/>
              <w:rPr>
                <w:sz w:val="20"/>
                <w:szCs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szCs w:val="20"/>
              </w:rPr>
            </w:pPr>
          </w:p>
        </w:tc>
        <w:tc>
          <w:tcPr>
            <w:tcW w:w="1247" w:type="dxa"/>
          </w:tcPr>
          <w:p w:rsidR="00BF79B6" w:rsidRPr="00BF79B6" w:rsidRDefault="00BF79B6" w:rsidP="00BF79B6">
            <w:pPr>
              <w:rPr>
                <w:sz w:val="18"/>
              </w:rPr>
            </w:pPr>
            <w:r w:rsidRPr="00BF79B6">
              <w:rPr>
                <w:sz w:val="18"/>
              </w:rPr>
              <w:t>Interview</w:t>
            </w:r>
          </w:p>
        </w:tc>
      </w:tr>
      <w:tr w:rsidR="00BF79B6" w:rsidTr="0044358D">
        <w:tc>
          <w:tcPr>
            <w:tcW w:w="6941" w:type="dxa"/>
          </w:tcPr>
          <w:p w:rsidR="00BF79B6" w:rsidRPr="00BF79B6" w:rsidRDefault="00BF79B6" w:rsidP="00BF79B6">
            <w:pPr>
              <w:jc w:val="both"/>
              <w:rPr>
                <w:rFonts w:cstheme="minorHAnsi"/>
                <w:sz w:val="18"/>
                <w:szCs w:val="16"/>
              </w:rPr>
            </w:pPr>
            <w:r w:rsidRPr="00BF79B6">
              <w:rPr>
                <w:rFonts w:cstheme="minorHAnsi"/>
                <w:sz w:val="18"/>
                <w:szCs w:val="16"/>
              </w:rPr>
              <w:t>Ability to motivate staff and students</w:t>
            </w:r>
          </w:p>
        </w:tc>
        <w:tc>
          <w:tcPr>
            <w:tcW w:w="1134" w:type="dxa"/>
            <w:vAlign w:val="center"/>
          </w:tcPr>
          <w:p w:rsidR="00BF79B6" w:rsidRPr="008208D8" w:rsidRDefault="00BF79B6" w:rsidP="00BF79B6">
            <w:pPr>
              <w:jc w:val="center"/>
              <w:rPr>
                <w:sz w:val="20"/>
                <w:szCs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szCs w:val="20"/>
              </w:rPr>
            </w:pPr>
          </w:p>
        </w:tc>
        <w:tc>
          <w:tcPr>
            <w:tcW w:w="1247" w:type="dxa"/>
          </w:tcPr>
          <w:p w:rsidR="00BF79B6" w:rsidRPr="00BF79B6" w:rsidRDefault="00BF79B6" w:rsidP="00BF79B6">
            <w:pPr>
              <w:rPr>
                <w:sz w:val="18"/>
              </w:rPr>
            </w:pPr>
            <w:r w:rsidRPr="00BF79B6">
              <w:rPr>
                <w:sz w:val="18"/>
              </w:rPr>
              <w:t>Interview</w:t>
            </w:r>
          </w:p>
        </w:tc>
      </w:tr>
      <w:tr w:rsidR="00BF79B6" w:rsidTr="0044358D">
        <w:tc>
          <w:tcPr>
            <w:tcW w:w="6941" w:type="dxa"/>
          </w:tcPr>
          <w:p w:rsidR="00BF79B6" w:rsidRPr="00BF79B6" w:rsidRDefault="00BF79B6" w:rsidP="00BF79B6">
            <w:pPr>
              <w:jc w:val="both"/>
              <w:rPr>
                <w:rFonts w:cstheme="minorHAnsi"/>
                <w:sz w:val="18"/>
                <w:szCs w:val="16"/>
              </w:rPr>
            </w:pPr>
            <w:r w:rsidRPr="00BF79B6">
              <w:rPr>
                <w:rFonts w:cstheme="minorHAnsi"/>
                <w:sz w:val="18"/>
                <w:szCs w:val="16"/>
              </w:rPr>
              <w:t>Good team working skills</w:t>
            </w:r>
          </w:p>
        </w:tc>
        <w:tc>
          <w:tcPr>
            <w:tcW w:w="1134" w:type="dxa"/>
            <w:vAlign w:val="center"/>
          </w:tcPr>
          <w:p w:rsidR="00BF79B6" w:rsidRPr="00D377DD" w:rsidRDefault="00BF79B6" w:rsidP="00BF79B6">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szCs w:val="20"/>
              </w:rPr>
            </w:pPr>
          </w:p>
        </w:tc>
        <w:tc>
          <w:tcPr>
            <w:tcW w:w="1247" w:type="dxa"/>
          </w:tcPr>
          <w:p w:rsidR="00BF79B6" w:rsidRPr="00BF79B6" w:rsidRDefault="00BF79B6" w:rsidP="00BF79B6">
            <w:pPr>
              <w:rPr>
                <w:sz w:val="18"/>
              </w:rPr>
            </w:pPr>
            <w:r w:rsidRPr="00BF79B6">
              <w:rPr>
                <w:sz w:val="18"/>
              </w:rPr>
              <w:t>Interview</w:t>
            </w:r>
          </w:p>
        </w:tc>
      </w:tr>
      <w:tr w:rsidR="00BF79B6" w:rsidTr="0044358D">
        <w:tc>
          <w:tcPr>
            <w:tcW w:w="6941" w:type="dxa"/>
          </w:tcPr>
          <w:p w:rsidR="00BF79B6" w:rsidRPr="00BF79B6" w:rsidRDefault="00BF79B6" w:rsidP="00BF79B6">
            <w:pPr>
              <w:jc w:val="both"/>
              <w:rPr>
                <w:rFonts w:cstheme="minorHAnsi"/>
                <w:sz w:val="18"/>
                <w:szCs w:val="16"/>
              </w:rPr>
            </w:pPr>
            <w:r w:rsidRPr="00BF79B6">
              <w:rPr>
                <w:rFonts w:cstheme="minorHAnsi"/>
                <w:sz w:val="18"/>
                <w:szCs w:val="16"/>
              </w:rPr>
              <w:t>Ability to lead a meeting</w:t>
            </w:r>
          </w:p>
        </w:tc>
        <w:tc>
          <w:tcPr>
            <w:tcW w:w="1134" w:type="dxa"/>
            <w:vAlign w:val="center"/>
          </w:tcPr>
          <w:p w:rsidR="00BF79B6" w:rsidRPr="00D377DD" w:rsidRDefault="00792B0F" w:rsidP="00BF79B6">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szCs w:val="20"/>
              </w:rPr>
            </w:pPr>
          </w:p>
        </w:tc>
        <w:tc>
          <w:tcPr>
            <w:tcW w:w="1247" w:type="dxa"/>
          </w:tcPr>
          <w:p w:rsidR="00BF79B6" w:rsidRPr="00BF79B6" w:rsidRDefault="00BF79B6" w:rsidP="00BF79B6">
            <w:pPr>
              <w:rPr>
                <w:sz w:val="18"/>
              </w:rPr>
            </w:pPr>
            <w:r w:rsidRPr="00BF79B6">
              <w:rPr>
                <w:sz w:val="18"/>
              </w:rPr>
              <w:t>Interview</w:t>
            </w:r>
          </w:p>
        </w:tc>
      </w:tr>
      <w:tr w:rsidR="00BF79B6" w:rsidTr="0044358D">
        <w:tc>
          <w:tcPr>
            <w:tcW w:w="6941" w:type="dxa"/>
          </w:tcPr>
          <w:p w:rsidR="00BF79B6" w:rsidRPr="00BF79B6" w:rsidRDefault="00BF79B6" w:rsidP="00BF79B6">
            <w:pPr>
              <w:jc w:val="both"/>
              <w:rPr>
                <w:rFonts w:cstheme="minorHAnsi"/>
                <w:sz w:val="18"/>
                <w:szCs w:val="16"/>
              </w:rPr>
            </w:pPr>
            <w:r w:rsidRPr="00BF79B6">
              <w:rPr>
                <w:rFonts w:cstheme="minorHAnsi"/>
                <w:sz w:val="18"/>
                <w:szCs w:val="16"/>
              </w:rPr>
              <w:t>Ability to innovate</w:t>
            </w:r>
          </w:p>
        </w:tc>
        <w:tc>
          <w:tcPr>
            <w:tcW w:w="1134" w:type="dxa"/>
            <w:vAlign w:val="center"/>
          </w:tcPr>
          <w:p w:rsidR="00BF79B6" w:rsidRPr="00D377DD" w:rsidRDefault="00792B0F" w:rsidP="00BF79B6">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szCs w:val="20"/>
              </w:rPr>
            </w:pPr>
          </w:p>
        </w:tc>
        <w:tc>
          <w:tcPr>
            <w:tcW w:w="1247" w:type="dxa"/>
          </w:tcPr>
          <w:p w:rsidR="00BF79B6" w:rsidRPr="00BF79B6" w:rsidRDefault="00BF79B6" w:rsidP="00BF79B6">
            <w:pPr>
              <w:rPr>
                <w:sz w:val="18"/>
              </w:rPr>
            </w:pPr>
            <w:r w:rsidRPr="00BF79B6">
              <w:rPr>
                <w:sz w:val="18"/>
              </w:rPr>
              <w:t>Interview</w:t>
            </w:r>
          </w:p>
        </w:tc>
      </w:tr>
      <w:tr w:rsidR="00BF79B6" w:rsidTr="0044358D">
        <w:tc>
          <w:tcPr>
            <w:tcW w:w="6941" w:type="dxa"/>
          </w:tcPr>
          <w:p w:rsidR="00BF79B6" w:rsidRPr="00BF79B6" w:rsidRDefault="00BF79B6" w:rsidP="00BF79B6">
            <w:pPr>
              <w:jc w:val="both"/>
              <w:rPr>
                <w:rFonts w:cstheme="minorHAnsi"/>
                <w:sz w:val="18"/>
                <w:szCs w:val="16"/>
              </w:rPr>
            </w:pPr>
            <w:r w:rsidRPr="00BF79B6">
              <w:rPr>
                <w:rFonts w:cstheme="minorHAnsi"/>
                <w:sz w:val="18"/>
                <w:szCs w:val="16"/>
              </w:rPr>
              <w:t xml:space="preserve">Evidence of commitment to Continuous Professional Development </w:t>
            </w:r>
          </w:p>
        </w:tc>
        <w:tc>
          <w:tcPr>
            <w:tcW w:w="1134" w:type="dxa"/>
            <w:vAlign w:val="center"/>
          </w:tcPr>
          <w:p w:rsidR="00BF79B6" w:rsidRPr="00D377DD" w:rsidRDefault="00BF79B6" w:rsidP="00BF79B6">
            <w:pPr>
              <w:jc w:val="center"/>
              <w:rPr>
                <w:rFonts w:ascii="Wingdings" w:eastAsia="Wingdings" w:hAnsi="Wingdings" w:cs="Wingdings"/>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szCs w:val="20"/>
              </w:rPr>
            </w:pPr>
          </w:p>
        </w:tc>
        <w:tc>
          <w:tcPr>
            <w:tcW w:w="1247" w:type="dxa"/>
          </w:tcPr>
          <w:p w:rsidR="00BF79B6" w:rsidRPr="00BF79B6" w:rsidRDefault="00BF79B6" w:rsidP="00BF79B6">
            <w:pPr>
              <w:rPr>
                <w:sz w:val="18"/>
              </w:rPr>
            </w:pPr>
            <w:r w:rsidRPr="00BF79B6">
              <w:rPr>
                <w:sz w:val="18"/>
              </w:rPr>
              <w:t>Application, Interview</w:t>
            </w:r>
          </w:p>
        </w:tc>
      </w:tr>
      <w:tr w:rsidR="00BF79B6" w:rsidTr="00A66B08">
        <w:tc>
          <w:tcPr>
            <w:tcW w:w="10456" w:type="dxa"/>
            <w:gridSpan w:val="4"/>
            <w:shd w:val="clear" w:color="auto" w:fill="B4C6E7" w:themeFill="accent1" w:themeFillTint="66"/>
          </w:tcPr>
          <w:p w:rsidR="00BF79B6" w:rsidRPr="008208D8" w:rsidRDefault="00BF79B6" w:rsidP="00BF79B6">
            <w:pPr>
              <w:rPr>
                <w:b/>
              </w:rPr>
            </w:pPr>
            <w:r w:rsidRPr="008208D8">
              <w:rPr>
                <w:b/>
              </w:rPr>
              <w:t>Qualifications</w:t>
            </w:r>
          </w:p>
        </w:tc>
      </w:tr>
      <w:tr w:rsidR="00BF79B6" w:rsidTr="0044358D">
        <w:tc>
          <w:tcPr>
            <w:tcW w:w="6941" w:type="dxa"/>
          </w:tcPr>
          <w:p w:rsidR="00BF79B6" w:rsidRPr="00BF79B6" w:rsidRDefault="00BF79B6" w:rsidP="00BF79B6">
            <w:pPr>
              <w:jc w:val="both"/>
              <w:rPr>
                <w:rFonts w:cstheme="minorHAnsi"/>
                <w:sz w:val="18"/>
                <w:szCs w:val="16"/>
              </w:rPr>
            </w:pPr>
          </w:p>
          <w:p w:rsidR="00BF79B6" w:rsidRPr="00BF79B6" w:rsidRDefault="00BF79B6" w:rsidP="00BF79B6">
            <w:pPr>
              <w:jc w:val="both"/>
              <w:rPr>
                <w:rFonts w:cstheme="minorHAnsi"/>
                <w:sz w:val="18"/>
                <w:szCs w:val="16"/>
              </w:rPr>
            </w:pPr>
            <w:r w:rsidRPr="00BF79B6">
              <w:rPr>
                <w:rFonts w:cstheme="minorHAnsi"/>
                <w:sz w:val="18"/>
                <w:szCs w:val="16"/>
              </w:rPr>
              <w:t>Level 4 (degree level) qualification or equivalent in an appropriate subject</w:t>
            </w:r>
          </w:p>
        </w:tc>
        <w:tc>
          <w:tcPr>
            <w:tcW w:w="1134" w:type="dxa"/>
            <w:vAlign w:val="center"/>
          </w:tcPr>
          <w:p w:rsidR="00BF79B6" w:rsidRPr="00392187" w:rsidRDefault="00BF79B6" w:rsidP="00BF79B6">
            <w:pPr>
              <w:jc w:val="center"/>
              <w:rPr>
                <w:rFonts w:cstheme="minorHAnsi"/>
                <w:sz w:val="18"/>
              </w:rPr>
            </w:pPr>
            <w:r w:rsidRPr="001D0B57">
              <w:rPr>
                <w:rFonts w:ascii="Wingdings" w:eastAsia="Wingdings" w:hAnsi="Wingdings" w:cs="Wingdings"/>
              </w:rPr>
              <w:t></w:t>
            </w:r>
          </w:p>
        </w:tc>
        <w:tc>
          <w:tcPr>
            <w:tcW w:w="1134" w:type="dxa"/>
          </w:tcPr>
          <w:p w:rsidR="00BF79B6" w:rsidRDefault="00BF79B6" w:rsidP="00BF79B6">
            <w:pPr>
              <w:jc w:val="center"/>
            </w:pPr>
          </w:p>
        </w:tc>
        <w:tc>
          <w:tcPr>
            <w:tcW w:w="1247" w:type="dxa"/>
            <w:vAlign w:val="center"/>
          </w:tcPr>
          <w:p w:rsidR="00BF79B6" w:rsidRPr="00526BF4" w:rsidRDefault="00BF79B6" w:rsidP="00BF79B6">
            <w:pPr>
              <w:rPr>
                <w:sz w:val="14"/>
                <w:szCs w:val="20"/>
              </w:rPr>
            </w:pPr>
            <w:r w:rsidRPr="00BF79B6">
              <w:rPr>
                <w:sz w:val="18"/>
              </w:rPr>
              <w:t>Application, Interview</w:t>
            </w:r>
          </w:p>
        </w:tc>
      </w:tr>
      <w:tr w:rsidR="00BF79B6" w:rsidTr="0044358D">
        <w:tc>
          <w:tcPr>
            <w:tcW w:w="6941" w:type="dxa"/>
          </w:tcPr>
          <w:p w:rsidR="00BF79B6" w:rsidRPr="00BF79B6" w:rsidRDefault="00BF79B6" w:rsidP="00BF79B6">
            <w:pPr>
              <w:jc w:val="both"/>
              <w:rPr>
                <w:rFonts w:cstheme="minorHAnsi"/>
                <w:sz w:val="18"/>
                <w:szCs w:val="16"/>
              </w:rPr>
            </w:pPr>
          </w:p>
          <w:p w:rsidR="00BF79B6" w:rsidRPr="00BF79B6" w:rsidRDefault="00BF79B6" w:rsidP="00BF79B6">
            <w:pPr>
              <w:jc w:val="both"/>
              <w:rPr>
                <w:rFonts w:cstheme="minorHAnsi"/>
                <w:sz w:val="18"/>
                <w:szCs w:val="16"/>
              </w:rPr>
            </w:pPr>
            <w:r w:rsidRPr="00BF79B6">
              <w:rPr>
                <w:rFonts w:cstheme="minorHAnsi"/>
                <w:sz w:val="18"/>
                <w:szCs w:val="16"/>
              </w:rPr>
              <w:t>IT qualification to level 2 or higher</w:t>
            </w:r>
          </w:p>
        </w:tc>
        <w:tc>
          <w:tcPr>
            <w:tcW w:w="1134" w:type="dxa"/>
            <w:vAlign w:val="center"/>
          </w:tcPr>
          <w:p w:rsidR="00BF79B6" w:rsidRPr="00392187" w:rsidRDefault="00BF79B6" w:rsidP="00BF79B6">
            <w:pPr>
              <w:jc w:val="center"/>
              <w:rPr>
                <w:rFonts w:cstheme="minorHAnsi"/>
                <w:sz w:val="18"/>
              </w:rPr>
            </w:pPr>
          </w:p>
        </w:tc>
        <w:tc>
          <w:tcPr>
            <w:tcW w:w="1134" w:type="dxa"/>
          </w:tcPr>
          <w:p w:rsidR="00BF79B6" w:rsidRDefault="00BF79B6" w:rsidP="00BF79B6">
            <w:pPr>
              <w:jc w:val="center"/>
            </w:pPr>
            <w:r w:rsidRPr="001D0B57">
              <w:rPr>
                <w:rFonts w:ascii="Wingdings" w:eastAsia="Wingdings" w:hAnsi="Wingdings" w:cs="Wingdings"/>
              </w:rPr>
              <w:t></w:t>
            </w:r>
          </w:p>
        </w:tc>
        <w:tc>
          <w:tcPr>
            <w:tcW w:w="1247" w:type="dxa"/>
            <w:vAlign w:val="center"/>
          </w:tcPr>
          <w:p w:rsidR="00BF79B6" w:rsidRPr="00526BF4" w:rsidRDefault="00BF79B6" w:rsidP="00BF79B6">
            <w:pPr>
              <w:rPr>
                <w:sz w:val="14"/>
                <w:szCs w:val="20"/>
              </w:rPr>
            </w:pPr>
            <w:r w:rsidRPr="00BF79B6">
              <w:rPr>
                <w:sz w:val="18"/>
              </w:rPr>
              <w:t>Application, Interview</w:t>
            </w:r>
          </w:p>
        </w:tc>
      </w:tr>
      <w:tr w:rsidR="00BF79B6" w:rsidTr="0044358D">
        <w:tc>
          <w:tcPr>
            <w:tcW w:w="6941" w:type="dxa"/>
          </w:tcPr>
          <w:p w:rsidR="00BF79B6" w:rsidRPr="00BF79B6" w:rsidRDefault="00BF79B6" w:rsidP="00BF79B6">
            <w:pPr>
              <w:jc w:val="both"/>
              <w:rPr>
                <w:rFonts w:cstheme="minorHAnsi"/>
                <w:sz w:val="18"/>
                <w:szCs w:val="16"/>
              </w:rPr>
            </w:pPr>
          </w:p>
          <w:p w:rsidR="00BF79B6" w:rsidRPr="00BF79B6" w:rsidRDefault="00BF79B6" w:rsidP="00BF79B6">
            <w:pPr>
              <w:jc w:val="both"/>
              <w:rPr>
                <w:rFonts w:cstheme="minorHAnsi"/>
                <w:sz w:val="18"/>
                <w:szCs w:val="16"/>
              </w:rPr>
            </w:pPr>
            <w:r w:rsidRPr="00BF79B6">
              <w:rPr>
                <w:rFonts w:cstheme="minorHAnsi"/>
                <w:sz w:val="18"/>
                <w:szCs w:val="16"/>
              </w:rPr>
              <w:t>Intermediate Counselling qualification</w:t>
            </w:r>
          </w:p>
        </w:tc>
        <w:tc>
          <w:tcPr>
            <w:tcW w:w="1134" w:type="dxa"/>
            <w:vAlign w:val="center"/>
          </w:tcPr>
          <w:p w:rsidR="00BF79B6" w:rsidRPr="00392187" w:rsidRDefault="00BF79B6" w:rsidP="00BF79B6">
            <w:pPr>
              <w:jc w:val="center"/>
              <w:rPr>
                <w:rFonts w:cstheme="minorHAnsi"/>
                <w:sz w:val="18"/>
              </w:rPr>
            </w:pPr>
          </w:p>
        </w:tc>
        <w:tc>
          <w:tcPr>
            <w:tcW w:w="1134" w:type="dxa"/>
            <w:vAlign w:val="center"/>
          </w:tcPr>
          <w:p w:rsidR="00BF79B6" w:rsidRPr="00392187" w:rsidRDefault="00BF79B6" w:rsidP="00BF79B6">
            <w:pPr>
              <w:jc w:val="center"/>
              <w:rPr>
                <w:rFonts w:cstheme="minorHAnsi"/>
                <w:sz w:val="18"/>
              </w:rPr>
            </w:pPr>
            <w:r w:rsidRPr="00D377DD">
              <w:rPr>
                <w:rFonts w:ascii="Wingdings" w:eastAsia="Wingdings" w:hAnsi="Wingdings" w:cs="Wingdings"/>
              </w:rPr>
              <w:t></w:t>
            </w:r>
          </w:p>
        </w:tc>
        <w:tc>
          <w:tcPr>
            <w:tcW w:w="1247" w:type="dxa"/>
            <w:vAlign w:val="center"/>
          </w:tcPr>
          <w:p w:rsidR="00BF79B6" w:rsidRPr="00526BF4" w:rsidRDefault="00BF79B6" w:rsidP="00BF79B6">
            <w:pPr>
              <w:rPr>
                <w:sz w:val="14"/>
                <w:szCs w:val="20"/>
              </w:rPr>
            </w:pPr>
            <w:r w:rsidRPr="00BF79B6">
              <w:rPr>
                <w:sz w:val="18"/>
              </w:rPr>
              <w:t>Application, Interview</w:t>
            </w:r>
          </w:p>
        </w:tc>
      </w:tr>
      <w:tr w:rsidR="00BF79B6" w:rsidTr="00A66B08">
        <w:tc>
          <w:tcPr>
            <w:tcW w:w="10456" w:type="dxa"/>
            <w:gridSpan w:val="4"/>
            <w:shd w:val="clear" w:color="auto" w:fill="B4C6E7" w:themeFill="accent1" w:themeFillTint="66"/>
          </w:tcPr>
          <w:p w:rsidR="00BF79B6" w:rsidRPr="008208D8" w:rsidRDefault="00BF79B6" w:rsidP="00BF79B6">
            <w:pPr>
              <w:rPr>
                <w:b/>
              </w:rPr>
            </w:pPr>
            <w:r w:rsidRPr="008208D8">
              <w:rPr>
                <w:b/>
              </w:rPr>
              <w:t>Attitude and impact</w:t>
            </w:r>
          </w:p>
        </w:tc>
      </w:tr>
      <w:tr w:rsidR="00BF79B6" w:rsidTr="00526BF4">
        <w:tc>
          <w:tcPr>
            <w:tcW w:w="6941" w:type="dxa"/>
          </w:tcPr>
          <w:p w:rsidR="00BF79B6" w:rsidRPr="00BF79B6" w:rsidRDefault="00BF79B6" w:rsidP="00BF79B6">
            <w:pPr>
              <w:jc w:val="both"/>
              <w:rPr>
                <w:rFonts w:cstheme="minorHAnsi"/>
                <w:sz w:val="18"/>
                <w:szCs w:val="16"/>
              </w:rPr>
            </w:pPr>
            <w:r w:rsidRPr="00BF79B6">
              <w:rPr>
                <w:rFonts w:cstheme="minorHAnsi"/>
                <w:sz w:val="18"/>
                <w:szCs w:val="16"/>
              </w:rPr>
              <w:t>Positive attitude</w:t>
            </w:r>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rPr>
            </w:pPr>
          </w:p>
        </w:tc>
        <w:tc>
          <w:tcPr>
            <w:tcW w:w="1247" w:type="dxa"/>
            <w:vAlign w:val="center"/>
          </w:tcPr>
          <w:p w:rsidR="00BF79B6" w:rsidRPr="00BF79B6" w:rsidRDefault="00BF79B6" w:rsidP="00BF79B6">
            <w:pPr>
              <w:rPr>
                <w:sz w:val="18"/>
              </w:rPr>
            </w:pPr>
            <w:r w:rsidRPr="00BF79B6">
              <w:rPr>
                <w:sz w:val="18"/>
                <w:szCs w:val="20"/>
              </w:rPr>
              <w:t>Interview</w:t>
            </w:r>
          </w:p>
        </w:tc>
      </w:tr>
      <w:tr w:rsidR="00BF79B6" w:rsidTr="00526BF4">
        <w:tc>
          <w:tcPr>
            <w:tcW w:w="6941" w:type="dxa"/>
          </w:tcPr>
          <w:p w:rsidR="00BF79B6" w:rsidRPr="00BF79B6" w:rsidRDefault="00BF79B6" w:rsidP="00BF79B6">
            <w:pPr>
              <w:jc w:val="both"/>
              <w:rPr>
                <w:rFonts w:cstheme="minorHAnsi"/>
                <w:sz w:val="18"/>
                <w:szCs w:val="16"/>
              </w:rPr>
            </w:pPr>
            <w:r w:rsidRPr="00BF79B6">
              <w:rPr>
                <w:rFonts w:cstheme="minorHAnsi"/>
                <w:sz w:val="18"/>
                <w:szCs w:val="16"/>
              </w:rPr>
              <w:t>Smart in appearance and manner</w:t>
            </w:r>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rPr>
            </w:pPr>
          </w:p>
        </w:tc>
        <w:tc>
          <w:tcPr>
            <w:tcW w:w="1247" w:type="dxa"/>
            <w:vAlign w:val="center"/>
          </w:tcPr>
          <w:p w:rsidR="00BF79B6" w:rsidRPr="00BF79B6" w:rsidRDefault="00BF79B6" w:rsidP="00BF79B6">
            <w:pPr>
              <w:rPr>
                <w:sz w:val="18"/>
              </w:rPr>
            </w:pPr>
            <w:r w:rsidRPr="00BF79B6">
              <w:rPr>
                <w:sz w:val="18"/>
                <w:szCs w:val="20"/>
              </w:rPr>
              <w:t>Interview</w:t>
            </w:r>
          </w:p>
        </w:tc>
      </w:tr>
      <w:tr w:rsidR="00BF79B6" w:rsidTr="00526BF4">
        <w:tc>
          <w:tcPr>
            <w:tcW w:w="6941" w:type="dxa"/>
          </w:tcPr>
          <w:p w:rsidR="00BF79B6" w:rsidRPr="00BF79B6" w:rsidRDefault="00BF79B6" w:rsidP="00BF79B6">
            <w:pPr>
              <w:jc w:val="both"/>
              <w:rPr>
                <w:rFonts w:cstheme="minorHAnsi"/>
                <w:sz w:val="18"/>
                <w:szCs w:val="16"/>
              </w:rPr>
            </w:pPr>
            <w:r w:rsidRPr="00BF79B6">
              <w:rPr>
                <w:rFonts w:cstheme="minorHAnsi"/>
                <w:sz w:val="18"/>
                <w:szCs w:val="16"/>
              </w:rPr>
              <w:t xml:space="preserve">Flexibility and a readiness to undertake a wide range of tasks </w:t>
            </w:r>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rPr>
            </w:pPr>
          </w:p>
        </w:tc>
        <w:tc>
          <w:tcPr>
            <w:tcW w:w="1247" w:type="dxa"/>
            <w:vAlign w:val="center"/>
          </w:tcPr>
          <w:p w:rsidR="00BF79B6" w:rsidRPr="00BF79B6" w:rsidRDefault="00BF79B6" w:rsidP="00BF79B6">
            <w:pPr>
              <w:rPr>
                <w:sz w:val="18"/>
              </w:rPr>
            </w:pPr>
            <w:r w:rsidRPr="00BF79B6">
              <w:rPr>
                <w:sz w:val="18"/>
                <w:szCs w:val="20"/>
              </w:rPr>
              <w:t>Interview</w:t>
            </w:r>
          </w:p>
        </w:tc>
      </w:tr>
      <w:tr w:rsidR="00BF79B6" w:rsidTr="00526BF4">
        <w:tc>
          <w:tcPr>
            <w:tcW w:w="6941" w:type="dxa"/>
          </w:tcPr>
          <w:p w:rsidR="00BF79B6" w:rsidRPr="00BF79B6" w:rsidRDefault="00BF79B6" w:rsidP="00BF79B6">
            <w:pPr>
              <w:jc w:val="both"/>
              <w:rPr>
                <w:rFonts w:cstheme="minorHAnsi"/>
                <w:sz w:val="18"/>
                <w:szCs w:val="16"/>
              </w:rPr>
            </w:pPr>
            <w:r w:rsidRPr="00BF79B6">
              <w:rPr>
                <w:rFonts w:cstheme="minorHAnsi"/>
                <w:sz w:val="18"/>
                <w:szCs w:val="16"/>
              </w:rPr>
              <w:t>Ability to work outside normal office hours on occasions</w:t>
            </w:r>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rPr>
            </w:pPr>
          </w:p>
        </w:tc>
        <w:tc>
          <w:tcPr>
            <w:tcW w:w="1247" w:type="dxa"/>
            <w:vAlign w:val="center"/>
          </w:tcPr>
          <w:p w:rsidR="00BF79B6" w:rsidRPr="00BF79B6" w:rsidRDefault="00BF79B6" w:rsidP="00BF79B6">
            <w:pPr>
              <w:rPr>
                <w:sz w:val="18"/>
              </w:rPr>
            </w:pPr>
            <w:r w:rsidRPr="00BF79B6">
              <w:rPr>
                <w:sz w:val="18"/>
                <w:szCs w:val="20"/>
              </w:rPr>
              <w:t>Interview</w:t>
            </w:r>
          </w:p>
        </w:tc>
      </w:tr>
      <w:tr w:rsidR="00BF79B6" w:rsidTr="00526BF4">
        <w:tc>
          <w:tcPr>
            <w:tcW w:w="6941" w:type="dxa"/>
          </w:tcPr>
          <w:p w:rsidR="00BF79B6" w:rsidRPr="00BF79B6" w:rsidRDefault="00BF79B6" w:rsidP="00BF79B6">
            <w:pPr>
              <w:jc w:val="both"/>
              <w:rPr>
                <w:rFonts w:cstheme="minorHAnsi"/>
                <w:sz w:val="18"/>
                <w:szCs w:val="16"/>
              </w:rPr>
            </w:pPr>
            <w:r w:rsidRPr="00BF79B6">
              <w:rPr>
                <w:rFonts w:cstheme="minorHAnsi"/>
                <w:sz w:val="18"/>
                <w:szCs w:val="16"/>
              </w:rPr>
              <w:t>In sympathy with the Catholic ethos of the College, including a commitment to co-operation and helpfulness and a concern for the well-being of others</w:t>
            </w:r>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rPr>
            </w:pPr>
          </w:p>
        </w:tc>
        <w:tc>
          <w:tcPr>
            <w:tcW w:w="1247" w:type="dxa"/>
            <w:vAlign w:val="center"/>
          </w:tcPr>
          <w:p w:rsidR="00BF79B6" w:rsidRPr="00BF79B6" w:rsidRDefault="00BF79B6" w:rsidP="00BF79B6">
            <w:pPr>
              <w:rPr>
                <w:sz w:val="18"/>
              </w:rPr>
            </w:pPr>
            <w:r w:rsidRPr="00BF79B6">
              <w:rPr>
                <w:sz w:val="18"/>
                <w:szCs w:val="20"/>
              </w:rPr>
              <w:t>Interview</w:t>
            </w:r>
          </w:p>
        </w:tc>
      </w:tr>
      <w:tr w:rsidR="00BF79B6" w:rsidTr="00A66B08">
        <w:tc>
          <w:tcPr>
            <w:tcW w:w="10456" w:type="dxa"/>
            <w:gridSpan w:val="4"/>
            <w:shd w:val="clear" w:color="auto" w:fill="B4C6E7" w:themeFill="accent1" w:themeFillTint="66"/>
          </w:tcPr>
          <w:p w:rsidR="00BF79B6" w:rsidRPr="008208D8" w:rsidRDefault="00BF79B6" w:rsidP="00BF79B6">
            <w:pPr>
              <w:rPr>
                <w:b/>
              </w:rPr>
            </w:pPr>
            <w:r w:rsidRPr="008208D8">
              <w:rPr>
                <w:b/>
              </w:rPr>
              <w:t>Personal</w:t>
            </w:r>
          </w:p>
        </w:tc>
      </w:tr>
      <w:tr w:rsidR="00BF79B6" w:rsidTr="00526BF4">
        <w:tc>
          <w:tcPr>
            <w:tcW w:w="6941" w:type="dxa"/>
          </w:tcPr>
          <w:p w:rsidR="00BF79B6" w:rsidRPr="00FA4849" w:rsidRDefault="00BF79B6" w:rsidP="00BF79B6">
            <w:pPr>
              <w:rPr>
                <w:sz w:val="18"/>
              </w:rPr>
            </w:pPr>
            <w:r w:rsidRPr="00FA4849">
              <w:rPr>
                <w:sz w:val="18"/>
              </w:rPr>
              <w:t xml:space="preserve">Practicing Catholic (for Theology/RE posts </w:t>
            </w:r>
            <w:proofErr w:type="gramStart"/>
            <w:r w:rsidRPr="00FA4849">
              <w:rPr>
                <w:sz w:val="18"/>
              </w:rPr>
              <w:t>only)*</w:t>
            </w:r>
            <w:proofErr w:type="gramEnd"/>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rPr>
            </w:pPr>
          </w:p>
        </w:tc>
        <w:tc>
          <w:tcPr>
            <w:tcW w:w="1247" w:type="dxa"/>
            <w:vAlign w:val="center"/>
          </w:tcPr>
          <w:p w:rsidR="00BF79B6" w:rsidRPr="00526BF4" w:rsidRDefault="00BF79B6" w:rsidP="00BF79B6">
            <w:pPr>
              <w:rPr>
                <w:sz w:val="14"/>
              </w:rPr>
            </w:pPr>
            <w:r w:rsidRPr="00526BF4">
              <w:rPr>
                <w:sz w:val="14"/>
              </w:rPr>
              <w:t>Application, interview</w:t>
            </w:r>
          </w:p>
        </w:tc>
      </w:tr>
      <w:tr w:rsidR="00BF79B6" w:rsidTr="00526BF4">
        <w:tc>
          <w:tcPr>
            <w:tcW w:w="6941" w:type="dxa"/>
          </w:tcPr>
          <w:p w:rsidR="00BF79B6" w:rsidRPr="00FA4849" w:rsidRDefault="00BF79B6" w:rsidP="00BF79B6">
            <w:pPr>
              <w:rPr>
                <w:sz w:val="18"/>
              </w:rPr>
            </w:pPr>
            <w:r w:rsidRPr="00FA4849">
              <w:rPr>
                <w:sz w:val="18"/>
              </w:rPr>
              <w:t>Enhance DBS clearance #</w:t>
            </w:r>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rPr>
            </w:pPr>
          </w:p>
        </w:tc>
        <w:tc>
          <w:tcPr>
            <w:tcW w:w="1247" w:type="dxa"/>
            <w:vAlign w:val="center"/>
          </w:tcPr>
          <w:p w:rsidR="00BF79B6" w:rsidRPr="00526BF4" w:rsidRDefault="00BF79B6" w:rsidP="00BF79B6">
            <w:pPr>
              <w:rPr>
                <w:sz w:val="14"/>
              </w:rPr>
            </w:pPr>
            <w:r w:rsidRPr="00526BF4">
              <w:rPr>
                <w:sz w:val="14"/>
              </w:rPr>
              <w:t>Pre-employment check</w:t>
            </w:r>
          </w:p>
        </w:tc>
      </w:tr>
      <w:tr w:rsidR="00BF79B6" w:rsidTr="00526BF4">
        <w:tc>
          <w:tcPr>
            <w:tcW w:w="6941" w:type="dxa"/>
          </w:tcPr>
          <w:p w:rsidR="00BF79B6" w:rsidRPr="00FA4849" w:rsidRDefault="00BF79B6" w:rsidP="00BF79B6">
            <w:pPr>
              <w:rPr>
                <w:sz w:val="18"/>
              </w:rPr>
            </w:pPr>
            <w:r w:rsidRPr="00FA4849">
              <w:rPr>
                <w:sz w:val="18"/>
              </w:rPr>
              <w:lastRenderedPageBreak/>
              <w:t>Two satisfactory references #</w:t>
            </w:r>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rPr>
            </w:pPr>
          </w:p>
        </w:tc>
        <w:tc>
          <w:tcPr>
            <w:tcW w:w="1247" w:type="dxa"/>
            <w:vAlign w:val="center"/>
          </w:tcPr>
          <w:p w:rsidR="00BF79B6" w:rsidRPr="00526BF4" w:rsidRDefault="00BF79B6" w:rsidP="00BF79B6">
            <w:pPr>
              <w:rPr>
                <w:sz w:val="14"/>
              </w:rPr>
            </w:pPr>
            <w:r w:rsidRPr="00526BF4">
              <w:rPr>
                <w:sz w:val="14"/>
              </w:rPr>
              <w:t>Pre-employment check</w:t>
            </w:r>
          </w:p>
        </w:tc>
      </w:tr>
      <w:tr w:rsidR="00BF79B6" w:rsidTr="00526BF4">
        <w:tc>
          <w:tcPr>
            <w:tcW w:w="6941" w:type="dxa"/>
          </w:tcPr>
          <w:p w:rsidR="00BF79B6" w:rsidRPr="00FA4849" w:rsidRDefault="00BF79B6" w:rsidP="00BF79B6">
            <w:pPr>
              <w:rPr>
                <w:sz w:val="18"/>
              </w:rPr>
            </w:pPr>
            <w:r w:rsidRPr="00FA4849">
              <w:rPr>
                <w:sz w:val="18"/>
              </w:rPr>
              <w:t>Full and relevant career and education history</w:t>
            </w:r>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rPr>
            </w:pPr>
          </w:p>
        </w:tc>
        <w:tc>
          <w:tcPr>
            <w:tcW w:w="1247" w:type="dxa"/>
            <w:vAlign w:val="center"/>
          </w:tcPr>
          <w:p w:rsidR="00BF79B6" w:rsidRPr="00526BF4" w:rsidRDefault="00BF79B6" w:rsidP="00BF79B6">
            <w:pPr>
              <w:rPr>
                <w:sz w:val="14"/>
              </w:rPr>
            </w:pPr>
            <w:r w:rsidRPr="00526BF4">
              <w:rPr>
                <w:sz w:val="14"/>
              </w:rPr>
              <w:t>Application</w:t>
            </w:r>
          </w:p>
        </w:tc>
      </w:tr>
      <w:tr w:rsidR="00BF79B6" w:rsidTr="00526BF4">
        <w:tc>
          <w:tcPr>
            <w:tcW w:w="6941" w:type="dxa"/>
          </w:tcPr>
          <w:p w:rsidR="00BF79B6" w:rsidRPr="00FA4849" w:rsidRDefault="00BF79B6" w:rsidP="00BF79B6">
            <w:pPr>
              <w:rPr>
                <w:sz w:val="18"/>
              </w:rPr>
            </w:pPr>
            <w:r w:rsidRPr="00FA4849">
              <w:rPr>
                <w:sz w:val="18"/>
              </w:rPr>
              <w:t>Ability to meet the requirements of the Immigration, Asylum and Nationality Act 2006 (to be legally employed to work in the UK)</w:t>
            </w:r>
          </w:p>
        </w:tc>
        <w:tc>
          <w:tcPr>
            <w:tcW w:w="1134" w:type="dxa"/>
            <w:vAlign w:val="center"/>
          </w:tcPr>
          <w:p w:rsidR="00BF79B6" w:rsidRPr="008208D8" w:rsidRDefault="00BF79B6" w:rsidP="00BF79B6">
            <w:pPr>
              <w:jc w:val="center"/>
              <w:rPr>
                <w:sz w:val="20"/>
              </w:rPr>
            </w:pPr>
            <w:r w:rsidRPr="00D377DD">
              <w:rPr>
                <w:rFonts w:ascii="Wingdings" w:eastAsia="Wingdings" w:hAnsi="Wingdings" w:cs="Wingdings"/>
              </w:rPr>
              <w:t></w:t>
            </w:r>
          </w:p>
        </w:tc>
        <w:tc>
          <w:tcPr>
            <w:tcW w:w="1134" w:type="dxa"/>
            <w:vAlign w:val="center"/>
          </w:tcPr>
          <w:p w:rsidR="00BF79B6" w:rsidRPr="008208D8" w:rsidRDefault="00BF79B6" w:rsidP="00BF79B6">
            <w:pPr>
              <w:jc w:val="center"/>
              <w:rPr>
                <w:sz w:val="20"/>
              </w:rPr>
            </w:pPr>
          </w:p>
        </w:tc>
        <w:tc>
          <w:tcPr>
            <w:tcW w:w="1247" w:type="dxa"/>
            <w:vAlign w:val="center"/>
          </w:tcPr>
          <w:p w:rsidR="00BF79B6" w:rsidRPr="00526BF4" w:rsidRDefault="00BF79B6" w:rsidP="00BF79B6">
            <w:pPr>
              <w:rPr>
                <w:sz w:val="14"/>
              </w:rPr>
            </w:pPr>
            <w:r w:rsidRPr="00526BF4">
              <w:rPr>
                <w:sz w:val="14"/>
              </w:rPr>
              <w:t>Application, pre-employment check</w:t>
            </w:r>
          </w:p>
        </w:tc>
      </w:tr>
      <w:tr w:rsidR="00BF79B6" w:rsidTr="00A66B08">
        <w:trPr>
          <w:trHeight w:val="752"/>
        </w:trPr>
        <w:tc>
          <w:tcPr>
            <w:tcW w:w="10456" w:type="dxa"/>
            <w:gridSpan w:val="4"/>
          </w:tcPr>
          <w:p w:rsidR="00BF79B6" w:rsidRPr="00526BF4" w:rsidRDefault="00BF79B6" w:rsidP="00BF79B6">
            <w:pPr>
              <w:rPr>
                <w:sz w:val="20"/>
              </w:rPr>
            </w:pPr>
            <w:r w:rsidRPr="00526BF4">
              <w:rPr>
                <w:sz w:val="20"/>
              </w:rPr>
              <w:t>The College is committed to safeguarding and promoting the welfare of young people and vulnerable adults and expects all staff and volunteers to share this commitment.</w:t>
            </w:r>
          </w:p>
          <w:p w:rsidR="00BF79B6" w:rsidRPr="00526BF4" w:rsidRDefault="00BF79B6" w:rsidP="00BF79B6">
            <w:pPr>
              <w:rPr>
                <w:sz w:val="20"/>
              </w:rPr>
            </w:pPr>
            <w:r w:rsidRPr="00526BF4">
              <w:rPr>
                <w:sz w:val="20"/>
              </w:rPr>
              <w:t>* In order to comply with the religious ethos of the College, this is a Genuine Occupational Requirement under the Equality Act 2010.</w:t>
            </w:r>
          </w:p>
          <w:p w:rsidR="00BF79B6" w:rsidRPr="00526BF4" w:rsidRDefault="00BF79B6" w:rsidP="00BF79B6">
            <w:pPr>
              <w:rPr>
                <w:sz w:val="20"/>
              </w:rPr>
            </w:pPr>
            <w:r w:rsidRPr="00526BF4">
              <w:rPr>
                <w:sz w:val="20"/>
              </w:rPr>
              <w:t># To follow an initial offer of employment</w:t>
            </w:r>
          </w:p>
        </w:tc>
      </w:tr>
    </w:tbl>
    <w:p w:rsidR="00304A16" w:rsidRDefault="00304A16"/>
    <w:sectPr w:rsidR="00304A16" w:rsidSect="004F013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58D" w:rsidRDefault="0044358D" w:rsidP="00304A16">
      <w:pPr>
        <w:spacing w:after="0" w:line="240" w:lineRule="auto"/>
      </w:pPr>
      <w:r>
        <w:separator/>
      </w:r>
    </w:p>
  </w:endnote>
  <w:endnote w:type="continuationSeparator" w:id="0">
    <w:p w:rsidR="0044358D" w:rsidRDefault="0044358D" w:rsidP="0030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866659"/>
      <w:docPartObj>
        <w:docPartGallery w:val="Page Numbers (Bottom of Page)"/>
        <w:docPartUnique/>
      </w:docPartObj>
    </w:sdtPr>
    <w:sdtEndPr>
      <w:rPr>
        <w:noProof/>
      </w:rPr>
    </w:sdtEndPr>
    <w:sdtContent>
      <w:p w:rsidR="0044358D" w:rsidRDefault="004435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4358D" w:rsidRDefault="00443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58D" w:rsidRDefault="0044358D" w:rsidP="00304A16">
      <w:pPr>
        <w:spacing w:after="0" w:line="240" w:lineRule="auto"/>
      </w:pPr>
      <w:r>
        <w:separator/>
      </w:r>
    </w:p>
  </w:footnote>
  <w:footnote w:type="continuationSeparator" w:id="0">
    <w:p w:rsidR="0044358D" w:rsidRDefault="0044358D" w:rsidP="00304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2E740F"/>
    <w:multiLevelType w:val="hybridMultilevel"/>
    <w:tmpl w:val="09BC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E1D18"/>
    <w:multiLevelType w:val="singleLevel"/>
    <w:tmpl w:val="FFFFFFFF"/>
    <w:lvl w:ilvl="0">
      <w:numFmt w:val="decimal"/>
      <w:lvlText w:val="*"/>
      <w:lvlJc w:val="left"/>
    </w:lvl>
  </w:abstractNum>
  <w:abstractNum w:abstractNumId="3" w15:restartNumberingAfterBreak="0">
    <w:nsid w:val="13C800A6"/>
    <w:multiLevelType w:val="hybridMultilevel"/>
    <w:tmpl w:val="0A3CE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B65AF4"/>
    <w:multiLevelType w:val="hybridMultilevel"/>
    <w:tmpl w:val="F738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081FA6"/>
    <w:multiLevelType w:val="hybridMultilevel"/>
    <w:tmpl w:val="9954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07504"/>
    <w:multiLevelType w:val="hybridMultilevel"/>
    <w:tmpl w:val="B928A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0177F"/>
    <w:multiLevelType w:val="hybridMultilevel"/>
    <w:tmpl w:val="5524B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B42D5"/>
    <w:multiLevelType w:val="hybridMultilevel"/>
    <w:tmpl w:val="6FE664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F3A7847"/>
    <w:multiLevelType w:val="hybridMultilevel"/>
    <w:tmpl w:val="2F7E6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84DFC"/>
    <w:multiLevelType w:val="hybridMultilevel"/>
    <w:tmpl w:val="E95AE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A3C88"/>
    <w:multiLevelType w:val="hybridMultilevel"/>
    <w:tmpl w:val="B79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F6AC2"/>
    <w:multiLevelType w:val="hybridMultilevel"/>
    <w:tmpl w:val="BB3EC4F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3" w15:restartNumberingAfterBreak="0">
    <w:nsid w:val="62121B8D"/>
    <w:multiLevelType w:val="hybridMultilevel"/>
    <w:tmpl w:val="28DE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D20E1"/>
    <w:multiLevelType w:val="hybridMultilevel"/>
    <w:tmpl w:val="44B2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A64E42"/>
    <w:multiLevelType w:val="hybridMultilevel"/>
    <w:tmpl w:val="FAC4BB9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6" w15:restartNumberingAfterBreak="0">
    <w:nsid w:val="6A562B88"/>
    <w:multiLevelType w:val="hybridMultilevel"/>
    <w:tmpl w:val="66483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AA6B7B"/>
    <w:multiLevelType w:val="hybridMultilevel"/>
    <w:tmpl w:val="40A8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6F4A55"/>
    <w:multiLevelType w:val="hybridMultilevel"/>
    <w:tmpl w:val="B1242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80EAB"/>
    <w:multiLevelType w:val="hybridMultilevel"/>
    <w:tmpl w:val="F1B8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441D7"/>
    <w:multiLevelType w:val="hybridMultilevel"/>
    <w:tmpl w:val="2622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11"/>
        <w:lvlJc w:val="left"/>
        <w:pPr>
          <w:ind w:left="578" w:hanging="11"/>
        </w:pPr>
        <w:rPr>
          <w:rFonts w:ascii="Symbol" w:hAnsi="Symbol" w:hint="default"/>
        </w:rPr>
      </w:lvl>
    </w:lvlOverride>
  </w:num>
  <w:num w:numId="4">
    <w:abstractNumId w:val="15"/>
  </w:num>
  <w:num w:numId="5">
    <w:abstractNumId w:val="13"/>
  </w:num>
  <w:num w:numId="6">
    <w:abstractNumId w:val="17"/>
  </w:num>
  <w:num w:numId="7">
    <w:abstractNumId w:val="5"/>
  </w:num>
  <w:num w:numId="8">
    <w:abstractNumId w:val="11"/>
  </w:num>
  <w:num w:numId="9">
    <w:abstractNumId w:val="19"/>
  </w:num>
  <w:num w:numId="10">
    <w:abstractNumId w:val="9"/>
  </w:num>
  <w:num w:numId="11">
    <w:abstractNumId w:val="10"/>
  </w:num>
  <w:num w:numId="12">
    <w:abstractNumId w:val="1"/>
  </w:num>
  <w:num w:numId="13">
    <w:abstractNumId w:val="0"/>
    <w:lvlOverride w:ilvl="0">
      <w:lvl w:ilvl="0">
        <w:numFmt w:val="bullet"/>
        <w:lvlText w:val=""/>
        <w:legacy w:legacy="1" w:legacySpace="0" w:legacyIndent="283"/>
        <w:lvlJc w:val="left"/>
        <w:pPr>
          <w:ind w:left="850" w:hanging="283"/>
        </w:pPr>
        <w:rPr>
          <w:rFonts w:ascii="Symbol" w:hAnsi="Symbol" w:hint="default"/>
        </w:rPr>
      </w:lvl>
    </w:lvlOverride>
  </w:num>
  <w:num w:numId="14">
    <w:abstractNumId w:val="20"/>
  </w:num>
  <w:num w:numId="15">
    <w:abstractNumId w:val="6"/>
  </w:num>
  <w:num w:numId="16">
    <w:abstractNumId w:val="12"/>
  </w:num>
  <w:num w:numId="17">
    <w:abstractNumId w:val="2"/>
  </w:num>
  <w:num w:numId="18">
    <w:abstractNumId w:val="16"/>
  </w:num>
  <w:num w:numId="19">
    <w:abstractNumId w:val="3"/>
  </w:num>
  <w:num w:numId="20">
    <w:abstractNumId w:val="8"/>
  </w:num>
  <w:num w:numId="21">
    <w:abstractNumId w:val="7"/>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138"/>
    <w:rsid w:val="000B35B9"/>
    <w:rsid w:val="001918A0"/>
    <w:rsid w:val="00235ABD"/>
    <w:rsid w:val="00264CC7"/>
    <w:rsid w:val="002B2E65"/>
    <w:rsid w:val="002F0AD1"/>
    <w:rsid w:val="00304A16"/>
    <w:rsid w:val="00354E0F"/>
    <w:rsid w:val="00392187"/>
    <w:rsid w:val="003D320D"/>
    <w:rsid w:val="00400FCC"/>
    <w:rsid w:val="0044358D"/>
    <w:rsid w:val="004F0138"/>
    <w:rsid w:val="00526BF4"/>
    <w:rsid w:val="005667F0"/>
    <w:rsid w:val="005B43FF"/>
    <w:rsid w:val="006150B2"/>
    <w:rsid w:val="00667D27"/>
    <w:rsid w:val="00730A71"/>
    <w:rsid w:val="00792B0F"/>
    <w:rsid w:val="008208D8"/>
    <w:rsid w:val="009D1FCB"/>
    <w:rsid w:val="00A66B08"/>
    <w:rsid w:val="00B028C3"/>
    <w:rsid w:val="00BF79B6"/>
    <w:rsid w:val="00C4737C"/>
    <w:rsid w:val="00D42640"/>
    <w:rsid w:val="00F96358"/>
    <w:rsid w:val="00FA48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7237"/>
  <w15:chartTrackingRefBased/>
  <w15:docId w15:val="{9B6D1E05-8ABE-4CE4-958D-B5B2C366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138"/>
    <w:pPr>
      <w:ind w:left="720"/>
      <w:contextualSpacing/>
    </w:pPr>
  </w:style>
  <w:style w:type="paragraph" w:styleId="Header">
    <w:name w:val="header"/>
    <w:basedOn w:val="Normal"/>
    <w:link w:val="HeaderChar"/>
    <w:uiPriority w:val="99"/>
    <w:unhideWhenUsed/>
    <w:rsid w:val="00304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A16"/>
  </w:style>
  <w:style w:type="paragraph" w:styleId="Footer">
    <w:name w:val="footer"/>
    <w:basedOn w:val="Normal"/>
    <w:link w:val="FooterChar"/>
    <w:uiPriority w:val="99"/>
    <w:unhideWhenUsed/>
    <w:rsid w:val="00304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A16"/>
  </w:style>
  <w:style w:type="paragraph" w:styleId="Title">
    <w:name w:val="Title"/>
    <w:basedOn w:val="Normal"/>
    <w:link w:val="TitleChar"/>
    <w:qFormat/>
    <w:rsid w:val="00A66B08"/>
    <w:pPr>
      <w:spacing w:after="0" w:line="240" w:lineRule="auto"/>
      <w:jc w:val="center"/>
    </w:pPr>
    <w:rPr>
      <w:rFonts w:ascii="Times New Roman" w:eastAsia="Times New Roman" w:hAnsi="Times New Roman" w:cs="Times New Roman"/>
      <w:b/>
      <w:sz w:val="30"/>
      <w:szCs w:val="20"/>
      <w:lang w:eastAsia="en-GB"/>
    </w:rPr>
  </w:style>
  <w:style w:type="character" w:customStyle="1" w:styleId="TitleChar">
    <w:name w:val="Title Char"/>
    <w:basedOn w:val="DefaultParagraphFont"/>
    <w:link w:val="Title"/>
    <w:rsid w:val="00A66B08"/>
    <w:rPr>
      <w:rFonts w:ascii="Times New Roman" w:eastAsia="Times New Roman" w:hAnsi="Times New Roman" w:cs="Times New Roman"/>
      <w:b/>
      <w:sz w:val="3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916989">
      <w:bodyDiv w:val="1"/>
      <w:marLeft w:val="0"/>
      <w:marRight w:val="0"/>
      <w:marTop w:val="0"/>
      <w:marBottom w:val="0"/>
      <w:divBdr>
        <w:top w:val="none" w:sz="0" w:space="0" w:color="auto"/>
        <w:left w:val="none" w:sz="0" w:space="0" w:color="auto"/>
        <w:bottom w:val="none" w:sz="0" w:space="0" w:color="auto"/>
        <w:right w:val="none" w:sz="0" w:space="0" w:color="auto"/>
      </w:divBdr>
    </w:div>
    <w:div w:id="1688409611">
      <w:bodyDiv w:val="1"/>
      <w:marLeft w:val="0"/>
      <w:marRight w:val="0"/>
      <w:marTop w:val="0"/>
      <w:marBottom w:val="0"/>
      <w:divBdr>
        <w:top w:val="none" w:sz="0" w:space="0" w:color="auto"/>
        <w:left w:val="none" w:sz="0" w:space="0" w:color="auto"/>
        <w:bottom w:val="none" w:sz="0" w:space="0" w:color="auto"/>
        <w:right w:val="none" w:sz="0" w:space="0" w:color="auto"/>
      </w:divBdr>
    </w:div>
    <w:div w:id="193798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37A94-400B-4C9F-A33F-C848304C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Loreto Sixth Form College</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GBalfour</dc:creator>
  <cp:keywords/>
  <dc:description/>
  <cp:lastModifiedBy>Matthew Beacock</cp:lastModifiedBy>
  <cp:revision>11</cp:revision>
  <dcterms:created xsi:type="dcterms:W3CDTF">2023-03-07T11:57:00Z</dcterms:created>
  <dcterms:modified xsi:type="dcterms:W3CDTF">2023-03-28T16:39:00Z</dcterms:modified>
</cp:coreProperties>
</file>